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072" w:type="dxa"/>
        <w:tblBorders>
          <w:top w:val="nil"/>
          <w:bottom w:val="nil"/>
          <w:insideH w:val="nil"/>
          <w:insideV w:val="nil"/>
        </w:tblBorders>
        <w:tblLayout w:type="fixed"/>
        <w:tblLook w:val="0400" w:firstRow="0" w:lastRow="0" w:firstColumn="0" w:lastColumn="0" w:noHBand="0" w:noVBand="1"/>
      </w:tblPr>
      <w:tblGrid>
        <w:gridCol w:w="2977"/>
        <w:gridCol w:w="6095"/>
      </w:tblGrid>
      <w:tr w:rsidR="00ED65D3" w:rsidRPr="00FE0F93" w14:paraId="7C6F0414" w14:textId="77777777">
        <w:tc>
          <w:tcPr>
            <w:tcW w:w="2977" w:type="dxa"/>
            <w:tcBorders>
              <w:top w:val="nil"/>
              <w:left w:val="nil"/>
              <w:bottom w:val="nil"/>
              <w:right w:val="nil"/>
            </w:tcBorders>
            <w:shd w:val="clear" w:color="auto" w:fill="auto"/>
            <w:tcMar>
              <w:top w:w="0" w:type="dxa"/>
              <w:left w:w="108" w:type="dxa"/>
              <w:bottom w:w="0" w:type="dxa"/>
              <w:right w:w="108" w:type="dxa"/>
            </w:tcMar>
          </w:tcPr>
          <w:p w14:paraId="3E0D8EF4" w14:textId="4FFEC87B" w:rsidR="005F4B79" w:rsidRPr="00FE0F93" w:rsidRDefault="006767DC" w:rsidP="00ED65D3">
            <w:pPr>
              <w:widowControl w:val="0"/>
              <w:tabs>
                <w:tab w:val="left" w:pos="883"/>
              </w:tabs>
              <w:spacing w:line="240" w:lineRule="auto"/>
              <w:jc w:val="center"/>
              <w:rPr>
                <w:rFonts w:ascii="Times New Roman" w:eastAsia="Times New Roman" w:hAnsi="Times New Roman" w:cs="Times New Roman"/>
                <w:sz w:val="28"/>
                <w:szCs w:val="28"/>
              </w:rPr>
            </w:pPr>
            <w:r w:rsidRPr="00FE0F93">
              <w:rPr>
                <w:rFonts w:ascii="Times New Roman" w:hAnsi="Times New Roman" w:cs="Times New Roman"/>
                <w:noProof/>
                <w:sz w:val="28"/>
                <w:szCs w:val="28"/>
                <w:lang w:val="en-US"/>
              </w:rPr>
              <mc:AlternateContent>
                <mc:Choice Requires="wps">
                  <w:drawing>
                    <wp:anchor distT="0" distB="0" distL="114300" distR="114300" simplePos="0" relativeHeight="251658240" behindDoc="0" locked="0" layoutInCell="1" hidden="0" allowOverlap="1" wp14:anchorId="24F7316A" wp14:editId="29755485">
                      <wp:simplePos x="0" y="0"/>
                      <wp:positionH relativeFrom="column">
                        <wp:posOffset>469900</wp:posOffset>
                      </wp:positionH>
                      <wp:positionV relativeFrom="paragraph">
                        <wp:posOffset>230886</wp:posOffset>
                      </wp:positionV>
                      <wp:extent cx="683895" cy="0"/>
                      <wp:effectExtent l="0" t="0" r="20955" b="19050"/>
                      <wp:wrapNone/>
                      <wp:docPr id="2" name="Straight Arrow Connector 2"/>
                      <wp:cNvGraphicFramePr/>
                      <a:graphic xmlns:a="http://schemas.openxmlformats.org/drawingml/2006/main">
                        <a:graphicData uri="http://schemas.microsoft.com/office/word/2010/wordprocessingShape">
                          <wps:wsp>
                            <wps:cNvCnPr/>
                            <wps:spPr>
                              <a:xfrm>
                                <a:off x="0" y="0"/>
                                <a:ext cx="683895" cy="0"/>
                              </a:xfrm>
                              <a:prstGeom prst="straightConnector1">
                                <a:avLst/>
                              </a:prstGeom>
                              <a:noFill/>
                              <a:ln w="9525" cap="flat" cmpd="sng">
                                <a:solidFill>
                                  <a:schemeClr val="dk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08523D21" id="_x0000_t32" coordsize="21600,21600" o:spt="32" o:oned="t" path="m,l21600,21600e" filled="f">
                      <v:path arrowok="t" fillok="f" o:connecttype="none"/>
                      <o:lock v:ext="edit" shapetype="t"/>
                    </v:shapetype>
                    <v:shape id="Straight Arrow Connector 2" o:spid="_x0000_s1026" type="#_x0000_t32" style="position:absolute;margin-left:37pt;margin-top:18.2pt;width:53.85pt;height:0;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" strokecolor="black [3200]">
                      <v:stroke startarrowwidth="narrow" startarrowlength="short" endarrowwidth="narrow" endarrowlength="short"/>
                    </v:shape>
                  </w:pict>
                </mc:Fallback>
              </mc:AlternateContent>
            </w:r>
            <w:r w:rsidR="00870F04" w:rsidRPr="00FE0F93">
              <w:rPr>
                <w:rFonts w:ascii="Times New Roman" w:eastAsia="Times New Roman" w:hAnsi="Times New Roman" w:cs="Times New Roman"/>
                <w:b/>
                <w:sz w:val="28"/>
                <w:szCs w:val="28"/>
              </w:rPr>
              <w:t>BỘ CÔNG THƯƠNG</w:t>
            </w:r>
            <w:r w:rsidR="00870F04" w:rsidRPr="00FE0F93">
              <w:rPr>
                <w:rFonts w:ascii="Times New Roman" w:eastAsia="Times New Roman" w:hAnsi="Times New Roman" w:cs="Times New Roman"/>
                <w:b/>
                <w:sz w:val="28"/>
                <w:szCs w:val="28"/>
              </w:rPr>
              <w:br/>
            </w:r>
          </w:p>
        </w:tc>
        <w:tc>
          <w:tcPr>
            <w:tcW w:w="6095" w:type="dxa"/>
            <w:tcBorders>
              <w:top w:val="nil"/>
              <w:left w:val="nil"/>
              <w:bottom w:val="nil"/>
              <w:right w:val="nil"/>
            </w:tcBorders>
            <w:shd w:val="clear" w:color="auto" w:fill="auto"/>
            <w:tcMar>
              <w:top w:w="0" w:type="dxa"/>
              <w:left w:w="108" w:type="dxa"/>
              <w:bottom w:w="0" w:type="dxa"/>
              <w:right w:w="108" w:type="dxa"/>
            </w:tcMar>
          </w:tcPr>
          <w:p w14:paraId="2931F41F" w14:textId="77777777" w:rsidR="005F4B79" w:rsidRPr="00FE0F93" w:rsidRDefault="00870F04" w:rsidP="00ED65D3">
            <w:pPr>
              <w:widowControl w:val="0"/>
              <w:spacing w:line="240" w:lineRule="auto"/>
              <w:jc w:val="center"/>
              <w:rPr>
                <w:rFonts w:ascii="Times New Roman" w:eastAsia="Times New Roman" w:hAnsi="Times New Roman" w:cs="Times New Roman"/>
                <w:sz w:val="28"/>
                <w:szCs w:val="28"/>
              </w:rPr>
            </w:pPr>
            <w:r w:rsidRPr="00FE0F93">
              <w:rPr>
                <w:rFonts w:ascii="Times New Roman" w:eastAsia="Times New Roman" w:hAnsi="Times New Roman" w:cs="Times New Roman"/>
                <w:b/>
                <w:sz w:val="28"/>
                <w:szCs w:val="28"/>
              </w:rPr>
              <w:t>CỘNG HÒA XÃ HỘI CHỦ NGHĨA VIỆT NAM</w:t>
            </w:r>
            <w:r w:rsidRPr="00FE0F93">
              <w:rPr>
                <w:rFonts w:ascii="Times New Roman" w:eastAsia="Times New Roman" w:hAnsi="Times New Roman" w:cs="Times New Roman"/>
                <w:b/>
                <w:sz w:val="28"/>
                <w:szCs w:val="28"/>
              </w:rPr>
              <w:br/>
              <w:t>Độc lập - Tự do - Hạnh phúc</w:t>
            </w:r>
            <w:r w:rsidRPr="00FE0F93">
              <w:rPr>
                <w:rFonts w:ascii="Times New Roman" w:eastAsia="Times New Roman" w:hAnsi="Times New Roman" w:cs="Times New Roman"/>
                <w:b/>
                <w:sz w:val="28"/>
                <w:szCs w:val="28"/>
              </w:rPr>
              <w:br/>
            </w:r>
            <w:r w:rsidRPr="00FE0F93">
              <w:rPr>
                <w:rFonts w:ascii="Times New Roman" w:hAnsi="Times New Roman" w:cs="Times New Roman"/>
                <w:noProof/>
                <w:sz w:val="28"/>
                <w:szCs w:val="28"/>
                <w:lang w:val="en-US"/>
              </w:rPr>
              <mc:AlternateContent>
                <mc:Choice Requires="wps">
                  <w:drawing>
                    <wp:anchor distT="0" distB="0" distL="114300" distR="114300" simplePos="0" relativeHeight="251659264" behindDoc="0" locked="0" layoutInCell="1" hidden="0" allowOverlap="1" wp14:anchorId="4AE06D96" wp14:editId="78279555">
                      <wp:simplePos x="0" y="0"/>
                      <wp:positionH relativeFrom="column">
                        <wp:posOffset>774700</wp:posOffset>
                      </wp:positionH>
                      <wp:positionV relativeFrom="paragraph">
                        <wp:posOffset>393700</wp:posOffset>
                      </wp:positionV>
                      <wp:extent cx="2160000" cy="0"/>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2160000" cy="0"/>
                              </a:xfrm>
                              <a:prstGeom prst="straightConnector1">
                                <a:avLst/>
                              </a:prstGeom>
                              <a:noFill/>
                              <a:ln w="9525" cap="flat" cmpd="sng">
                                <a:solidFill>
                                  <a:schemeClr val="dk1"/>
                                </a:solidFill>
                                <a:prstDash val="solid"/>
                                <a:round/>
                                <a:headEnd type="none" w="sm" len="sm"/>
                                <a:tailEnd type="none" w="sm" len="sm"/>
                              </a:ln>
                            </wps:spPr>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F99668" id="Straight Arrow Connector 1" o:spid="_x0000_s1026" type="#_x0000_t32" style="position:absolute;margin-left:61pt;margin-top:31pt;width:170.1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" strokecolor="black [3200]">
                      <v:stroke startarrowwidth="narrow" startarrowlength="short" endarrowwidth="narrow" endarrowlength="short"/>
                    </v:shape>
                  </w:pict>
                </mc:Fallback>
              </mc:AlternateContent>
            </w:r>
          </w:p>
        </w:tc>
      </w:tr>
      <w:tr w:rsidR="00ED65D3" w:rsidRPr="00FE0F93" w14:paraId="68C98729" w14:textId="77777777">
        <w:tc>
          <w:tcPr>
            <w:tcW w:w="2977" w:type="dxa"/>
            <w:tcBorders>
              <w:top w:val="nil"/>
              <w:left w:val="nil"/>
              <w:bottom w:val="nil"/>
              <w:right w:val="nil"/>
            </w:tcBorders>
            <w:shd w:val="clear" w:color="auto" w:fill="auto"/>
            <w:tcMar>
              <w:top w:w="0" w:type="dxa"/>
              <w:left w:w="108" w:type="dxa"/>
              <w:bottom w:w="0" w:type="dxa"/>
              <w:right w:w="108" w:type="dxa"/>
            </w:tcMar>
          </w:tcPr>
          <w:p w14:paraId="49FC63A8" w14:textId="77777777" w:rsidR="005F4B79" w:rsidRPr="00FE0F93" w:rsidRDefault="00870F04" w:rsidP="00ED65D3">
            <w:pPr>
              <w:widowControl w:val="0"/>
              <w:spacing w:line="240" w:lineRule="auto"/>
              <w:jc w:val="center"/>
              <w:rPr>
                <w:rFonts w:ascii="Times New Roman" w:eastAsia="Times New Roman" w:hAnsi="Times New Roman" w:cs="Times New Roman"/>
                <w:sz w:val="28"/>
                <w:szCs w:val="28"/>
              </w:rPr>
            </w:pPr>
            <w:r w:rsidRPr="00FE0F93">
              <w:rPr>
                <w:rFonts w:ascii="Times New Roman" w:eastAsia="Times New Roman" w:hAnsi="Times New Roman" w:cs="Times New Roman"/>
                <w:sz w:val="28"/>
                <w:szCs w:val="28"/>
              </w:rPr>
              <w:t> </w:t>
            </w:r>
          </w:p>
        </w:tc>
        <w:tc>
          <w:tcPr>
            <w:tcW w:w="6095" w:type="dxa"/>
            <w:tcBorders>
              <w:top w:val="nil"/>
              <w:left w:val="nil"/>
              <w:bottom w:val="nil"/>
              <w:right w:val="nil"/>
            </w:tcBorders>
            <w:shd w:val="clear" w:color="auto" w:fill="auto"/>
            <w:tcMar>
              <w:top w:w="0" w:type="dxa"/>
              <w:left w:w="108" w:type="dxa"/>
              <w:bottom w:w="0" w:type="dxa"/>
              <w:right w:w="108" w:type="dxa"/>
            </w:tcMar>
          </w:tcPr>
          <w:p w14:paraId="72880F8D" w14:textId="015614F0" w:rsidR="005F4B79" w:rsidRPr="00FE0F93" w:rsidRDefault="00870F04" w:rsidP="00C763B9">
            <w:pPr>
              <w:widowControl w:val="0"/>
              <w:spacing w:line="240" w:lineRule="auto"/>
              <w:jc w:val="right"/>
              <w:rPr>
                <w:rFonts w:ascii="Times New Roman" w:eastAsia="Times New Roman" w:hAnsi="Times New Roman" w:cs="Times New Roman"/>
                <w:sz w:val="28"/>
                <w:szCs w:val="28"/>
              </w:rPr>
            </w:pPr>
            <w:r w:rsidRPr="00FE0F93">
              <w:rPr>
                <w:rFonts w:ascii="Times New Roman" w:eastAsia="Times New Roman" w:hAnsi="Times New Roman" w:cs="Times New Roman"/>
                <w:i/>
                <w:sz w:val="28"/>
                <w:szCs w:val="28"/>
              </w:rPr>
              <w:t xml:space="preserve">Hà Nội, ngày </w:t>
            </w:r>
            <w:r w:rsidR="002B5F09" w:rsidRPr="00FE0F93">
              <w:rPr>
                <w:rFonts w:ascii="Times New Roman" w:eastAsia="Times New Roman" w:hAnsi="Times New Roman" w:cs="Times New Roman"/>
                <w:i/>
                <w:sz w:val="28"/>
                <w:szCs w:val="28"/>
                <w:lang w:val="en-US"/>
              </w:rPr>
              <w:t xml:space="preserve">      </w:t>
            </w:r>
            <w:r w:rsidRPr="00FE0F93">
              <w:rPr>
                <w:rFonts w:ascii="Times New Roman" w:eastAsia="Times New Roman" w:hAnsi="Times New Roman" w:cs="Times New Roman"/>
                <w:i/>
                <w:sz w:val="28"/>
                <w:szCs w:val="28"/>
              </w:rPr>
              <w:t xml:space="preserve"> tháng </w:t>
            </w:r>
            <w:r w:rsidR="002B5F09" w:rsidRPr="00FE0F93">
              <w:rPr>
                <w:rFonts w:ascii="Times New Roman" w:eastAsia="Times New Roman" w:hAnsi="Times New Roman" w:cs="Times New Roman"/>
                <w:i/>
                <w:sz w:val="28"/>
                <w:szCs w:val="28"/>
                <w:lang w:val="en-US"/>
              </w:rPr>
              <w:t xml:space="preserve">   </w:t>
            </w:r>
            <w:r w:rsidR="00C763B9" w:rsidRPr="00FE0F93">
              <w:rPr>
                <w:rFonts w:ascii="Times New Roman" w:eastAsia="Times New Roman" w:hAnsi="Times New Roman" w:cs="Times New Roman"/>
                <w:i/>
                <w:sz w:val="28"/>
                <w:szCs w:val="28"/>
                <w:lang w:val="en-US"/>
              </w:rPr>
              <w:t xml:space="preserve"> </w:t>
            </w:r>
            <w:r w:rsidR="002B5F09" w:rsidRPr="00FE0F93">
              <w:rPr>
                <w:rFonts w:ascii="Times New Roman" w:eastAsia="Times New Roman" w:hAnsi="Times New Roman" w:cs="Times New Roman"/>
                <w:i/>
                <w:sz w:val="28"/>
                <w:szCs w:val="28"/>
                <w:lang w:val="en-US"/>
              </w:rPr>
              <w:t xml:space="preserve"> </w:t>
            </w:r>
            <w:r w:rsidR="005B5B78">
              <w:rPr>
                <w:rFonts w:ascii="Times New Roman" w:eastAsia="Times New Roman" w:hAnsi="Times New Roman" w:cs="Times New Roman"/>
                <w:i/>
                <w:sz w:val="28"/>
                <w:szCs w:val="28"/>
              </w:rPr>
              <w:t xml:space="preserve"> năm 2025</w:t>
            </w:r>
          </w:p>
        </w:tc>
      </w:tr>
    </w:tbl>
    <w:p w14:paraId="16532250" w14:textId="77777777" w:rsidR="005F4B79" w:rsidRPr="00FE0F93" w:rsidRDefault="005F4B79" w:rsidP="00851C81">
      <w:pPr>
        <w:widowControl w:val="0"/>
        <w:spacing w:line="240" w:lineRule="auto"/>
        <w:ind w:firstLine="567"/>
        <w:jc w:val="center"/>
        <w:rPr>
          <w:rFonts w:ascii="Times New Roman" w:eastAsia="Times New Roman" w:hAnsi="Times New Roman" w:cs="Times New Roman"/>
          <w:sz w:val="28"/>
          <w:szCs w:val="28"/>
        </w:rPr>
      </w:pPr>
    </w:p>
    <w:p w14:paraId="64B2A99E" w14:textId="39AF7E09" w:rsidR="005F4B79" w:rsidRPr="00FD3B61" w:rsidRDefault="00870F04" w:rsidP="00FD3B61">
      <w:pPr>
        <w:widowControl w:val="0"/>
        <w:spacing w:line="240" w:lineRule="auto"/>
        <w:jc w:val="center"/>
        <w:rPr>
          <w:rFonts w:ascii="Times New Roman" w:eastAsia="Times New Roman" w:hAnsi="Times New Roman" w:cs="Times New Roman"/>
          <w:b/>
          <w:sz w:val="28"/>
          <w:szCs w:val="28"/>
        </w:rPr>
      </w:pPr>
      <w:r w:rsidRPr="00FE0F93">
        <w:rPr>
          <w:rFonts w:ascii="Times New Roman" w:eastAsia="Times New Roman" w:hAnsi="Times New Roman" w:cs="Times New Roman"/>
          <w:b/>
          <w:sz w:val="28"/>
          <w:szCs w:val="28"/>
        </w:rPr>
        <w:t xml:space="preserve">Bản tổng hợp, giải trình, tiếp thu ý kiến góp ý của </w:t>
      </w:r>
      <w:r w:rsidR="00FE0F93" w:rsidRPr="00FE0F93">
        <w:rPr>
          <w:rFonts w:ascii="Times New Roman" w:eastAsia="Times New Roman" w:hAnsi="Times New Roman" w:cs="Times New Roman"/>
          <w:b/>
          <w:sz w:val="28"/>
          <w:szCs w:val="28"/>
          <w:lang w:val="en-US"/>
        </w:rPr>
        <w:t xml:space="preserve">các </w:t>
      </w:r>
      <w:r w:rsidRPr="00FE0F93">
        <w:rPr>
          <w:rFonts w:ascii="Times New Roman" w:eastAsia="Times New Roman" w:hAnsi="Times New Roman" w:cs="Times New Roman"/>
          <w:b/>
          <w:sz w:val="28"/>
          <w:szCs w:val="28"/>
        </w:rPr>
        <w:t xml:space="preserve">cơ quan, tổ chức về </w:t>
      </w:r>
      <w:r w:rsidR="00FD3B61">
        <w:rPr>
          <w:rFonts w:ascii="Times New Roman" w:eastAsia="Times New Roman" w:hAnsi="Times New Roman" w:cs="Times New Roman"/>
          <w:b/>
          <w:sz w:val="28"/>
          <w:szCs w:val="28"/>
        </w:rPr>
        <w:t>d</w:t>
      </w:r>
      <w:r w:rsidR="00FD3B61" w:rsidRPr="00FD3B61">
        <w:rPr>
          <w:rFonts w:ascii="Times New Roman" w:eastAsia="Times New Roman" w:hAnsi="Times New Roman" w:cs="Times New Roman"/>
          <w:b/>
          <w:sz w:val="28"/>
          <w:szCs w:val="28"/>
        </w:rPr>
        <w:t>ự thảo Quyết định của Thủ tướng Chính phủ quy định về khung giá của mức giá bán lẻ điện bình quân</w:t>
      </w:r>
    </w:p>
    <w:p w14:paraId="50EA2935" w14:textId="77777777" w:rsidR="00851C81" w:rsidRPr="00FE0F93" w:rsidRDefault="00851C81" w:rsidP="00851C81">
      <w:pPr>
        <w:widowControl w:val="0"/>
        <w:spacing w:line="240" w:lineRule="auto"/>
        <w:ind w:firstLine="567"/>
        <w:jc w:val="center"/>
        <w:rPr>
          <w:rFonts w:ascii="Times New Roman" w:eastAsia="Times New Roman" w:hAnsi="Times New Roman" w:cs="Times New Roman"/>
          <w:b/>
          <w:sz w:val="28"/>
          <w:szCs w:val="28"/>
        </w:rPr>
      </w:pPr>
    </w:p>
    <w:p w14:paraId="769DD636" w14:textId="0F533632" w:rsidR="005F4B79" w:rsidRPr="00FE0F93" w:rsidRDefault="00870F04" w:rsidP="000663B7">
      <w:pPr>
        <w:widowControl w:val="0"/>
        <w:numPr>
          <w:ilvl w:val="0"/>
          <w:numId w:val="12"/>
        </w:numPr>
        <w:pBdr>
          <w:top w:val="nil"/>
          <w:left w:val="nil"/>
          <w:bottom w:val="nil"/>
          <w:right w:val="nil"/>
          <w:between w:val="nil"/>
        </w:pBdr>
        <w:tabs>
          <w:tab w:val="left" w:pos="851"/>
        </w:tabs>
        <w:spacing w:before="120" w:after="120" w:line="240" w:lineRule="auto"/>
        <w:ind w:left="0" w:firstLine="567"/>
        <w:jc w:val="both"/>
        <w:rPr>
          <w:rFonts w:ascii="Times New Roman" w:eastAsia="Times New Roman" w:hAnsi="Times New Roman" w:cs="Times New Roman"/>
          <w:b/>
          <w:sz w:val="28"/>
          <w:szCs w:val="28"/>
        </w:rPr>
      </w:pPr>
      <w:bookmarkStart w:id="0" w:name="_gjdgxs" w:colFirst="0" w:colLast="0"/>
      <w:bookmarkEnd w:id="0"/>
      <w:r w:rsidRPr="00FE0F93">
        <w:rPr>
          <w:rFonts w:ascii="Times New Roman" w:eastAsia="Times New Roman" w:hAnsi="Times New Roman" w:cs="Times New Roman"/>
          <w:b/>
          <w:sz w:val="28"/>
          <w:szCs w:val="28"/>
        </w:rPr>
        <w:t xml:space="preserve">Căn cứ xây dựng Bản tổng hợp, giải trình, tiếp thu ý kiến góp ý của </w:t>
      </w:r>
      <w:r w:rsidR="00FE0F93" w:rsidRPr="00FE0F93">
        <w:rPr>
          <w:rFonts w:ascii="Times New Roman" w:eastAsia="Times New Roman" w:hAnsi="Times New Roman" w:cs="Times New Roman"/>
          <w:b/>
          <w:sz w:val="28"/>
          <w:szCs w:val="28"/>
          <w:lang w:val="en-US"/>
        </w:rPr>
        <w:t xml:space="preserve">các </w:t>
      </w:r>
      <w:r w:rsidRPr="00FE0F93">
        <w:rPr>
          <w:rFonts w:ascii="Times New Roman" w:eastAsia="Times New Roman" w:hAnsi="Times New Roman" w:cs="Times New Roman"/>
          <w:b/>
          <w:sz w:val="28"/>
          <w:szCs w:val="28"/>
        </w:rPr>
        <w:t xml:space="preserve">cơ quan, tổ chức: </w:t>
      </w:r>
    </w:p>
    <w:p w14:paraId="202FC15E" w14:textId="312ED1F5" w:rsidR="005F4B79" w:rsidRPr="00FE0F93" w:rsidRDefault="00FD3B61" w:rsidP="00ED65D3">
      <w:pPr>
        <w:widowControl w:val="0"/>
        <w:tabs>
          <w:tab w:val="left" w:pos="851"/>
        </w:tabs>
        <w:spacing w:before="120" w:after="120" w:line="240" w:lineRule="auto"/>
        <w:ind w:firstLine="567"/>
        <w:jc w:val="both"/>
        <w:rPr>
          <w:rFonts w:ascii="Times New Roman" w:eastAsia="Times New Roman" w:hAnsi="Times New Roman" w:cs="Times New Roman"/>
          <w:sz w:val="28"/>
          <w:szCs w:val="28"/>
        </w:rPr>
      </w:pPr>
      <w:r w:rsidRPr="00FD3B61">
        <w:rPr>
          <w:rFonts w:ascii="Times New Roman" w:eastAsia="Times New Roman" w:hAnsi="Times New Roman" w:cs="Times New Roman"/>
          <w:sz w:val="28"/>
          <w:szCs w:val="28"/>
        </w:rPr>
        <w:t>Dự thảo Quyết định của Thủ tướng Chính phủ quy định về khung giá của mức giá bán lẻ điện bình quân</w:t>
      </w:r>
      <w:r w:rsidR="00FD6959" w:rsidRPr="00FD3B61">
        <w:rPr>
          <w:rFonts w:ascii="Times New Roman" w:eastAsia="Times New Roman" w:hAnsi="Times New Roman" w:cs="Times New Roman"/>
          <w:sz w:val="28"/>
          <w:szCs w:val="28"/>
        </w:rPr>
        <w:t xml:space="preserve"> </w:t>
      </w:r>
      <w:r w:rsidR="00AE377C" w:rsidRPr="00FE0F93">
        <w:rPr>
          <w:rFonts w:ascii="Times New Roman" w:eastAsia="Times New Roman" w:hAnsi="Times New Roman" w:cs="Times New Roman"/>
          <w:sz w:val="28"/>
          <w:szCs w:val="28"/>
        </w:rPr>
        <w:t>(</w:t>
      </w:r>
      <w:r w:rsidR="006767DC" w:rsidRPr="00FE0F93">
        <w:rPr>
          <w:rFonts w:ascii="Times New Roman" w:eastAsia="Times New Roman" w:hAnsi="Times New Roman" w:cs="Times New Roman"/>
          <w:sz w:val="28"/>
          <w:szCs w:val="28"/>
          <w:lang w:val="en-US"/>
        </w:rPr>
        <w:t>D</w:t>
      </w:r>
      <w:r w:rsidR="006767DC" w:rsidRPr="00FE0F93">
        <w:rPr>
          <w:rFonts w:ascii="Times New Roman" w:eastAsia="Times New Roman" w:hAnsi="Times New Roman" w:cs="Times New Roman"/>
          <w:sz w:val="28"/>
          <w:szCs w:val="28"/>
        </w:rPr>
        <w:t xml:space="preserve">ự </w:t>
      </w:r>
      <w:r w:rsidR="00AE377C" w:rsidRPr="00FE0F93">
        <w:rPr>
          <w:rFonts w:ascii="Times New Roman" w:eastAsia="Times New Roman" w:hAnsi="Times New Roman" w:cs="Times New Roman"/>
          <w:sz w:val="28"/>
          <w:szCs w:val="28"/>
        </w:rPr>
        <w:t xml:space="preserve">thảo </w:t>
      </w:r>
      <w:r>
        <w:rPr>
          <w:rFonts w:ascii="Times New Roman" w:eastAsia="Times New Roman" w:hAnsi="Times New Roman" w:cs="Times New Roman"/>
          <w:sz w:val="28"/>
          <w:szCs w:val="28"/>
          <w:lang w:val="en-US"/>
        </w:rPr>
        <w:t>Quyết định</w:t>
      </w:r>
      <w:r w:rsidR="00AE377C" w:rsidRPr="00FE0F93">
        <w:rPr>
          <w:rFonts w:ascii="Times New Roman" w:eastAsia="Times New Roman" w:hAnsi="Times New Roman" w:cs="Times New Roman"/>
          <w:sz w:val="28"/>
          <w:szCs w:val="28"/>
        </w:rPr>
        <w:t>)</w:t>
      </w:r>
      <w:r w:rsidR="00870F04" w:rsidRPr="00FE0F93">
        <w:rPr>
          <w:rFonts w:ascii="Times New Roman" w:eastAsia="Times New Roman" w:hAnsi="Times New Roman" w:cs="Times New Roman"/>
          <w:sz w:val="28"/>
          <w:szCs w:val="28"/>
        </w:rPr>
        <w:t xml:space="preserve"> đã được gửi lấy ý kiến theo quy định tại </w:t>
      </w:r>
      <w:r w:rsidR="00AE377C" w:rsidRPr="00FE0F93">
        <w:rPr>
          <w:rFonts w:ascii="Times New Roman" w:eastAsia="Times New Roman" w:hAnsi="Times New Roman" w:cs="Times New Roman"/>
          <w:sz w:val="28"/>
          <w:szCs w:val="28"/>
        </w:rPr>
        <w:t xml:space="preserve">Điều 148 Luật </w:t>
      </w:r>
      <w:r w:rsidR="00870F04" w:rsidRPr="00FE0F93">
        <w:rPr>
          <w:rFonts w:ascii="Times New Roman" w:eastAsia="Times New Roman" w:hAnsi="Times New Roman" w:cs="Times New Roman"/>
          <w:sz w:val="28"/>
          <w:szCs w:val="28"/>
        </w:rPr>
        <w:t>Ban hành văn bản quy phạm pháp luật như sau:</w:t>
      </w:r>
    </w:p>
    <w:p w14:paraId="2EE8275D" w14:textId="5292EC02" w:rsidR="00FE695D" w:rsidRPr="00FE0F93" w:rsidRDefault="00870F04" w:rsidP="00222C16">
      <w:pPr>
        <w:widowControl w:val="0"/>
        <w:tabs>
          <w:tab w:val="left" w:pos="851"/>
        </w:tabs>
        <w:spacing w:before="120" w:after="120" w:line="240" w:lineRule="auto"/>
        <w:ind w:firstLine="567"/>
        <w:jc w:val="both"/>
        <w:rPr>
          <w:rFonts w:ascii="Times New Roman" w:eastAsia="Times New Roman" w:hAnsi="Times New Roman" w:cs="Times New Roman"/>
          <w:sz w:val="28"/>
          <w:szCs w:val="28"/>
        </w:rPr>
      </w:pPr>
      <w:r w:rsidRPr="00FE0F93">
        <w:rPr>
          <w:rFonts w:ascii="Times New Roman" w:eastAsia="Times New Roman" w:hAnsi="Times New Roman" w:cs="Times New Roman"/>
          <w:sz w:val="28"/>
          <w:szCs w:val="28"/>
        </w:rPr>
        <w:t xml:space="preserve">a) </w:t>
      </w:r>
      <w:r w:rsidR="00FE695D" w:rsidRPr="00FE0F93">
        <w:rPr>
          <w:rFonts w:ascii="Times New Roman" w:eastAsia="Times New Roman" w:hAnsi="Times New Roman" w:cs="Times New Roman"/>
          <w:sz w:val="28"/>
          <w:szCs w:val="28"/>
        </w:rPr>
        <w:t xml:space="preserve">Theo Quyết định số 1610/QĐ-TTg ngày 19 tháng 12 năm 2024 của Thủ tướng Chính phủ </w:t>
      </w:r>
      <w:r w:rsidR="008E6DDA" w:rsidRPr="00FE0F93">
        <w:rPr>
          <w:rFonts w:ascii="Times New Roman" w:eastAsia="Times New Roman" w:hAnsi="Times New Roman" w:cs="Times New Roman"/>
          <w:sz w:val="28"/>
          <w:szCs w:val="28"/>
          <w:lang w:val="en-GB"/>
        </w:rPr>
        <w:t>về việc</w:t>
      </w:r>
      <w:r w:rsidR="00FE695D" w:rsidRPr="00FE0F93">
        <w:rPr>
          <w:rFonts w:ascii="Times New Roman" w:eastAsia="Times New Roman" w:hAnsi="Times New Roman" w:cs="Times New Roman"/>
          <w:sz w:val="28"/>
          <w:szCs w:val="28"/>
        </w:rPr>
        <w:t xml:space="preserve"> ban hành Danh mục và phân công cơ quan chủ trì soạn thảo văn bản quy định chi tiết thi hành các luật, nghị quyết được Quốc hội khóa XV thông qua tại </w:t>
      </w:r>
      <w:r w:rsidR="008E6DDA" w:rsidRPr="00FE0F93">
        <w:rPr>
          <w:rFonts w:ascii="Times New Roman" w:eastAsia="Times New Roman" w:hAnsi="Times New Roman" w:cs="Times New Roman"/>
          <w:sz w:val="28"/>
          <w:szCs w:val="28"/>
        </w:rPr>
        <w:t>Kỳ họp thứ 8</w:t>
      </w:r>
      <w:r w:rsidR="00FE695D" w:rsidRPr="00FE0F93">
        <w:rPr>
          <w:rFonts w:ascii="Times New Roman" w:eastAsia="Times New Roman" w:hAnsi="Times New Roman" w:cs="Times New Roman"/>
          <w:sz w:val="28"/>
          <w:szCs w:val="28"/>
        </w:rPr>
        <w:t xml:space="preserve">, Bộ Công Thương được phân công chủ trì và phối hợp với các Bộ, ngành có liên quan soạn thảo </w:t>
      </w:r>
      <w:r w:rsidR="00FD3B61" w:rsidRPr="00FD3B61">
        <w:rPr>
          <w:rFonts w:ascii="Times New Roman" w:eastAsia="Times New Roman" w:hAnsi="Times New Roman" w:cs="Times New Roman"/>
          <w:sz w:val="28"/>
          <w:szCs w:val="28"/>
        </w:rPr>
        <w:t>Quyết định của Thủ tướng Chính phủ quy định về khung giá của mức giá bán lẻ điện bình quân</w:t>
      </w:r>
      <w:r w:rsidR="00FE695D" w:rsidRPr="00FD3B61">
        <w:rPr>
          <w:rFonts w:ascii="Times New Roman" w:eastAsia="Times New Roman" w:hAnsi="Times New Roman" w:cs="Times New Roman"/>
          <w:sz w:val="28"/>
          <w:szCs w:val="28"/>
        </w:rPr>
        <w:t>,</w:t>
      </w:r>
      <w:r w:rsidR="00FE695D" w:rsidRPr="00FE0F93">
        <w:rPr>
          <w:rFonts w:ascii="Times New Roman" w:eastAsia="Times New Roman" w:hAnsi="Times New Roman" w:cs="Times New Roman"/>
          <w:sz w:val="28"/>
          <w:szCs w:val="28"/>
        </w:rPr>
        <w:t xml:space="preserve"> đồng thời </w:t>
      </w:r>
      <w:r w:rsidR="00FD3B61" w:rsidRPr="00FD3B61">
        <w:rPr>
          <w:rFonts w:ascii="Times New Roman" w:eastAsia="Times New Roman" w:hAnsi="Times New Roman" w:cs="Times New Roman"/>
          <w:sz w:val="28"/>
          <w:szCs w:val="28"/>
        </w:rPr>
        <w:t xml:space="preserve">Quyết định của Thủ tướng Chính phủ quy định về khung giá của mức giá bán lẻ điện bình quân </w:t>
      </w:r>
      <w:r w:rsidR="00FE695D" w:rsidRPr="00FE0F93">
        <w:rPr>
          <w:rFonts w:ascii="Times New Roman" w:eastAsia="Times New Roman" w:hAnsi="Times New Roman" w:cs="Times New Roman"/>
          <w:sz w:val="28"/>
          <w:szCs w:val="28"/>
        </w:rPr>
        <w:t>được thực hiện theo trình tự, thủ tục rút gọn.</w:t>
      </w:r>
    </w:p>
    <w:p w14:paraId="632F412F" w14:textId="3C3172C8" w:rsidR="00FE695D" w:rsidRPr="00FE0F93" w:rsidRDefault="00870F04" w:rsidP="00ED65D3">
      <w:pPr>
        <w:widowControl w:val="0"/>
        <w:spacing w:before="120" w:after="120" w:line="240" w:lineRule="auto"/>
        <w:ind w:firstLine="567"/>
        <w:jc w:val="both"/>
        <w:rPr>
          <w:rFonts w:ascii="Times New Roman" w:eastAsia="Times New Roman" w:hAnsi="Times New Roman" w:cs="Times New Roman"/>
          <w:sz w:val="28"/>
          <w:szCs w:val="28"/>
        </w:rPr>
      </w:pPr>
      <w:r w:rsidRPr="00FE0F93">
        <w:rPr>
          <w:rFonts w:ascii="Times New Roman" w:eastAsia="Times New Roman" w:hAnsi="Times New Roman" w:cs="Times New Roman"/>
          <w:sz w:val="28"/>
          <w:szCs w:val="28"/>
        </w:rPr>
        <w:t xml:space="preserve">b) </w:t>
      </w:r>
      <w:r w:rsidR="00FE695D" w:rsidRPr="00FE0F93">
        <w:rPr>
          <w:rFonts w:ascii="Times New Roman" w:eastAsia="Times New Roman" w:hAnsi="Times New Roman" w:cs="Times New Roman"/>
          <w:sz w:val="28"/>
          <w:szCs w:val="28"/>
        </w:rPr>
        <w:t xml:space="preserve">Bộ Công Thương đã </w:t>
      </w:r>
      <w:r w:rsidR="006767DC" w:rsidRPr="00FE0F93">
        <w:rPr>
          <w:rFonts w:ascii="Times New Roman" w:eastAsia="Times New Roman" w:hAnsi="Times New Roman" w:cs="Times New Roman"/>
          <w:sz w:val="28"/>
          <w:szCs w:val="28"/>
          <w:lang w:val="en-US"/>
        </w:rPr>
        <w:t xml:space="preserve">gửi </w:t>
      </w:r>
      <w:r w:rsidR="00FE695D" w:rsidRPr="00FE0F93">
        <w:rPr>
          <w:rFonts w:ascii="Times New Roman" w:eastAsia="Times New Roman" w:hAnsi="Times New Roman" w:cs="Times New Roman"/>
          <w:sz w:val="28"/>
          <w:szCs w:val="28"/>
        </w:rPr>
        <w:t>lấy ý kiến bằng văn bản</w:t>
      </w:r>
      <w:r w:rsidR="00FD3B61">
        <w:rPr>
          <w:rFonts w:ascii="Times New Roman" w:eastAsia="Times New Roman" w:hAnsi="Times New Roman" w:cs="Times New Roman"/>
          <w:sz w:val="28"/>
          <w:szCs w:val="28"/>
          <w:lang w:val="en-US"/>
        </w:rPr>
        <w:t xml:space="preserve"> đối với</w:t>
      </w:r>
      <w:r w:rsidR="00FE695D" w:rsidRPr="00FE0F93">
        <w:rPr>
          <w:rFonts w:ascii="Times New Roman" w:eastAsia="Times New Roman" w:hAnsi="Times New Roman" w:cs="Times New Roman"/>
          <w:sz w:val="28"/>
          <w:szCs w:val="28"/>
        </w:rPr>
        <w:t xml:space="preserve"> </w:t>
      </w:r>
      <w:r w:rsidR="006767DC" w:rsidRPr="00FE0F93">
        <w:rPr>
          <w:rFonts w:ascii="Times New Roman" w:eastAsia="Times New Roman" w:hAnsi="Times New Roman" w:cs="Times New Roman"/>
          <w:sz w:val="28"/>
          <w:szCs w:val="28"/>
        </w:rPr>
        <w:t>Ủy ban trung ương Mặt trận Tổ quốc Việt Nam</w:t>
      </w:r>
      <w:r w:rsidR="006767DC" w:rsidRPr="00FE0F93">
        <w:rPr>
          <w:rFonts w:ascii="Times New Roman" w:eastAsia="Times New Roman" w:hAnsi="Times New Roman" w:cs="Times New Roman"/>
          <w:sz w:val="28"/>
          <w:szCs w:val="28"/>
          <w:lang w:val="en-US"/>
        </w:rPr>
        <w:t>,</w:t>
      </w:r>
      <w:r w:rsidR="006767DC" w:rsidRPr="00FE0F93" w:rsidDel="006767DC">
        <w:rPr>
          <w:rFonts w:ascii="Times New Roman" w:eastAsia="Times New Roman" w:hAnsi="Times New Roman" w:cs="Times New Roman"/>
          <w:sz w:val="28"/>
          <w:szCs w:val="28"/>
        </w:rPr>
        <w:t xml:space="preserve"> </w:t>
      </w:r>
      <w:r w:rsidR="00FE695D" w:rsidRPr="00FE0F93">
        <w:rPr>
          <w:rFonts w:ascii="Times New Roman" w:eastAsia="Times New Roman" w:hAnsi="Times New Roman" w:cs="Times New Roman"/>
          <w:sz w:val="28"/>
          <w:szCs w:val="28"/>
        </w:rPr>
        <w:t>các Bộ, cơ quan có liên quan, các đơn vị điện lực</w:t>
      </w:r>
      <w:r w:rsidR="006767DC" w:rsidRPr="00FE0F93">
        <w:rPr>
          <w:rFonts w:ascii="Times New Roman" w:eastAsia="Times New Roman" w:hAnsi="Times New Roman" w:cs="Times New Roman"/>
          <w:sz w:val="28"/>
          <w:szCs w:val="28"/>
          <w:lang w:val="en-US"/>
        </w:rPr>
        <w:t>, Liên đoàn Thư</w:t>
      </w:r>
      <w:r w:rsidR="00FD3B61">
        <w:rPr>
          <w:rFonts w:ascii="Times New Roman" w:eastAsia="Times New Roman" w:hAnsi="Times New Roman" w:cs="Times New Roman"/>
          <w:sz w:val="28"/>
          <w:szCs w:val="28"/>
          <w:lang w:val="en-US"/>
        </w:rPr>
        <w:t>ơng mại và Công nghiệp Việt Nam</w:t>
      </w:r>
      <w:r w:rsidR="006767DC" w:rsidRPr="00FE0F93">
        <w:rPr>
          <w:rFonts w:ascii="Times New Roman" w:eastAsia="Times New Roman" w:hAnsi="Times New Roman" w:cs="Times New Roman"/>
          <w:sz w:val="28"/>
          <w:szCs w:val="28"/>
          <w:lang w:val="en-US"/>
        </w:rPr>
        <w:t xml:space="preserve"> </w:t>
      </w:r>
      <w:r w:rsidR="008E6DDA" w:rsidRPr="00FE0F93">
        <w:rPr>
          <w:rFonts w:ascii="Times New Roman" w:eastAsia="Times New Roman" w:hAnsi="Times New Roman" w:cs="Times New Roman"/>
          <w:sz w:val="28"/>
          <w:szCs w:val="28"/>
        </w:rPr>
        <w:t xml:space="preserve">đối với Dự thảo </w:t>
      </w:r>
      <w:r w:rsidR="00FD3B61">
        <w:rPr>
          <w:rFonts w:ascii="Times New Roman" w:eastAsia="Times New Roman" w:hAnsi="Times New Roman" w:cs="Times New Roman"/>
          <w:sz w:val="28"/>
          <w:szCs w:val="28"/>
          <w:lang w:val="en-US"/>
        </w:rPr>
        <w:t>Quyết định</w:t>
      </w:r>
      <w:r w:rsidR="008E6DDA" w:rsidRPr="00FE0F93">
        <w:rPr>
          <w:rFonts w:ascii="Times New Roman" w:eastAsia="Times New Roman" w:hAnsi="Times New Roman" w:cs="Times New Roman"/>
          <w:sz w:val="28"/>
          <w:szCs w:val="28"/>
        </w:rPr>
        <w:t xml:space="preserve"> và </w:t>
      </w:r>
      <w:r w:rsidR="00967917" w:rsidRPr="00FE0F93">
        <w:rPr>
          <w:rFonts w:ascii="Times New Roman" w:eastAsia="Times New Roman" w:hAnsi="Times New Roman" w:cs="Times New Roman"/>
          <w:sz w:val="28"/>
          <w:szCs w:val="28"/>
          <w:lang w:val="en-US"/>
        </w:rPr>
        <w:t xml:space="preserve">dự thảo </w:t>
      </w:r>
      <w:r w:rsidR="008E6DDA" w:rsidRPr="00FE0F93">
        <w:rPr>
          <w:rFonts w:ascii="Times New Roman" w:eastAsia="Times New Roman" w:hAnsi="Times New Roman" w:cs="Times New Roman"/>
          <w:sz w:val="28"/>
          <w:szCs w:val="28"/>
        </w:rPr>
        <w:t>Tờ trình</w:t>
      </w:r>
      <w:r w:rsidR="008E6DDA" w:rsidRPr="00FE0F93">
        <w:rPr>
          <w:rFonts w:ascii="Times New Roman" w:eastAsia="Times New Roman" w:hAnsi="Times New Roman" w:cs="Times New Roman"/>
          <w:sz w:val="28"/>
          <w:szCs w:val="28"/>
          <w:lang w:val="en-GB"/>
        </w:rPr>
        <w:t xml:space="preserve"> Chính phủ</w:t>
      </w:r>
      <w:r w:rsidR="008E6DDA" w:rsidRPr="00FE0F93">
        <w:rPr>
          <w:rFonts w:ascii="Times New Roman" w:eastAsia="Times New Roman" w:hAnsi="Times New Roman" w:cs="Times New Roman"/>
          <w:sz w:val="28"/>
          <w:szCs w:val="28"/>
        </w:rPr>
        <w:t xml:space="preserve"> </w:t>
      </w:r>
      <w:r w:rsidR="00FE695D" w:rsidRPr="00FE0F93">
        <w:rPr>
          <w:rFonts w:ascii="Times New Roman" w:eastAsia="Times New Roman" w:hAnsi="Times New Roman" w:cs="Times New Roman"/>
          <w:sz w:val="28"/>
          <w:szCs w:val="28"/>
        </w:rPr>
        <w:t xml:space="preserve">(Công văn số </w:t>
      </w:r>
      <w:r w:rsidR="006767DC" w:rsidRPr="00FE0F93">
        <w:rPr>
          <w:rFonts w:ascii="Times New Roman" w:eastAsia="Times New Roman" w:hAnsi="Times New Roman" w:cs="Times New Roman"/>
          <w:sz w:val="28"/>
          <w:szCs w:val="28"/>
          <w:lang w:val="en-US"/>
        </w:rPr>
        <w:t>10</w:t>
      </w:r>
      <w:r w:rsidR="00FD3B61">
        <w:rPr>
          <w:rFonts w:ascii="Times New Roman" w:eastAsia="Times New Roman" w:hAnsi="Times New Roman" w:cs="Times New Roman"/>
          <w:sz w:val="28"/>
          <w:szCs w:val="28"/>
          <w:lang w:val="en-US"/>
        </w:rPr>
        <w:t>631</w:t>
      </w:r>
      <w:r w:rsidR="00FE695D" w:rsidRPr="00FE0F93">
        <w:rPr>
          <w:rFonts w:ascii="Times New Roman" w:eastAsia="Times New Roman" w:hAnsi="Times New Roman" w:cs="Times New Roman"/>
          <w:sz w:val="28"/>
          <w:szCs w:val="28"/>
        </w:rPr>
        <w:t xml:space="preserve">/BCT-ĐTĐL ngày </w:t>
      </w:r>
      <w:r w:rsidR="00FD3B61">
        <w:rPr>
          <w:rFonts w:ascii="Times New Roman" w:eastAsia="Times New Roman" w:hAnsi="Times New Roman" w:cs="Times New Roman"/>
          <w:sz w:val="28"/>
          <w:szCs w:val="28"/>
          <w:lang w:val="en-US"/>
        </w:rPr>
        <w:t>26</w:t>
      </w:r>
      <w:r w:rsidR="006767DC" w:rsidRPr="00FE0F93">
        <w:rPr>
          <w:rFonts w:ascii="Times New Roman" w:eastAsia="Times New Roman" w:hAnsi="Times New Roman" w:cs="Times New Roman"/>
          <w:sz w:val="28"/>
          <w:szCs w:val="28"/>
        </w:rPr>
        <w:t xml:space="preserve"> </w:t>
      </w:r>
      <w:r w:rsidR="00FE695D" w:rsidRPr="00FE0F93">
        <w:rPr>
          <w:rFonts w:ascii="Times New Roman" w:eastAsia="Times New Roman" w:hAnsi="Times New Roman" w:cs="Times New Roman"/>
          <w:sz w:val="28"/>
          <w:szCs w:val="28"/>
        </w:rPr>
        <w:t>tháng 12 năm 2024</w:t>
      </w:r>
      <w:r w:rsidR="008E6DDA" w:rsidRPr="00FE0F93">
        <w:rPr>
          <w:rFonts w:ascii="Times New Roman" w:eastAsia="Times New Roman" w:hAnsi="Times New Roman" w:cs="Times New Roman"/>
          <w:sz w:val="28"/>
          <w:szCs w:val="28"/>
          <w:lang w:val="en-GB"/>
        </w:rPr>
        <w:t>)</w:t>
      </w:r>
      <w:r w:rsidR="00FE695D" w:rsidRPr="00FE0F93">
        <w:rPr>
          <w:rFonts w:ascii="Times New Roman" w:eastAsia="Times New Roman" w:hAnsi="Times New Roman" w:cs="Times New Roman"/>
          <w:sz w:val="28"/>
          <w:szCs w:val="28"/>
        </w:rPr>
        <w:t>.</w:t>
      </w:r>
    </w:p>
    <w:p w14:paraId="5A458F4A" w14:textId="3770AFF7" w:rsidR="005F4B79" w:rsidRPr="00FE0F93" w:rsidRDefault="00870F04" w:rsidP="00AE377C">
      <w:pPr>
        <w:widowControl w:val="0"/>
        <w:tabs>
          <w:tab w:val="left" w:pos="851"/>
        </w:tabs>
        <w:spacing w:before="120" w:after="120" w:line="240" w:lineRule="auto"/>
        <w:ind w:firstLine="567"/>
        <w:jc w:val="both"/>
        <w:rPr>
          <w:rFonts w:ascii="Times New Roman" w:eastAsia="Times New Roman" w:hAnsi="Times New Roman" w:cs="Times New Roman"/>
          <w:sz w:val="28"/>
          <w:szCs w:val="28"/>
        </w:rPr>
      </w:pPr>
      <w:r w:rsidRPr="00FE0F93">
        <w:rPr>
          <w:rFonts w:ascii="Times New Roman" w:eastAsia="Times New Roman" w:hAnsi="Times New Roman" w:cs="Times New Roman"/>
          <w:sz w:val="28"/>
          <w:szCs w:val="28"/>
        </w:rPr>
        <w:t xml:space="preserve">Bộ Công Thương đã tiếp nhận được các ý kiến góp ý bằng văn bản của </w:t>
      </w:r>
      <w:r w:rsidR="003C6A5B">
        <w:rPr>
          <w:rFonts w:ascii="Times New Roman" w:eastAsia="Times New Roman" w:hAnsi="Times New Roman" w:cs="Times New Roman"/>
          <w:sz w:val="28"/>
          <w:szCs w:val="28"/>
          <w:lang w:val="en-US"/>
        </w:rPr>
        <w:t>các cơ quan, đơn vị</w:t>
      </w:r>
      <w:r w:rsidRPr="00FE0F93">
        <w:rPr>
          <w:rFonts w:ascii="Times New Roman" w:eastAsia="Times New Roman" w:hAnsi="Times New Roman" w:cs="Times New Roman"/>
          <w:sz w:val="28"/>
          <w:szCs w:val="28"/>
        </w:rPr>
        <w:t xml:space="preserve">. Trên cơ sở đó, Bộ Công Thương đã tổng hợp các ý kiến này </w:t>
      </w:r>
      <w:r w:rsidR="00FE0F93" w:rsidRPr="00FE0F93">
        <w:rPr>
          <w:rFonts w:ascii="Times New Roman" w:eastAsia="Times New Roman" w:hAnsi="Times New Roman" w:cs="Times New Roman"/>
          <w:sz w:val="28"/>
          <w:szCs w:val="28"/>
          <w:lang w:val="en-US"/>
        </w:rPr>
        <w:t>và</w:t>
      </w:r>
      <w:r w:rsidR="00FE0F93" w:rsidRPr="00FE0F93">
        <w:rPr>
          <w:rFonts w:ascii="Times New Roman" w:eastAsia="Times New Roman" w:hAnsi="Times New Roman" w:cs="Times New Roman"/>
          <w:sz w:val="28"/>
          <w:szCs w:val="28"/>
        </w:rPr>
        <w:t xml:space="preserve"> </w:t>
      </w:r>
      <w:r w:rsidRPr="00FE0F93">
        <w:rPr>
          <w:rFonts w:ascii="Times New Roman" w:eastAsia="Times New Roman" w:hAnsi="Times New Roman" w:cs="Times New Roman"/>
          <w:sz w:val="28"/>
          <w:szCs w:val="28"/>
        </w:rPr>
        <w:t>xây dựng Bản tổng hợp ý kiến</w:t>
      </w:r>
      <w:r w:rsidR="00AE377C" w:rsidRPr="00FE0F93">
        <w:rPr>
          <w:rFonts w:ascii="Times New Roman" w:eastAsia="Times New Roman" w:hAnsi="Times New Roman" w:cs="Times New Roman"/>
          <w:sz w:val="28"/>
          <w:szCs w:val="28"/>
        </w:rPr>
        <w:t xml:space="preserve"> và </w:t>
      </w:r>
      <w:r w:rsidRPr="00FE0F93">
        <w:rPr>
          <w:rFonts w:ascii="Times New Roman" w:eastAsia="Times New Roman" w:hAnsi="Times New Roman" w:cs="Times New Roman"/>
          <w:sz w:val="28"/>
          <w:szCs w:val="28"/>
        </w:rPr>
        <w:t>hoàn thiện nội dung tiếp thu, giải trình.</w:t>
      </w:r>
    </w:p>
    <w:p w14:paraId="3996EE23" w14:textId="77777777" w:rsidR="005F4B79" w:rsidRPr="00FE0F93" w:rsidRDefault="00870F04" w:rsidP="00ED65D3">
      <w:pPr>
        <w:widowControl w:val="0"/>
        <w:numPr>
          <w:ilvl w:val="0"/>
          <w:numId w:val="12"/>
        </w:numPr>
        <w:pBdr>
          <w:top w:val="nil"/>
          <w:left w:val="nil"/>
          <w:bottom w:val="nil"/>
          <w:right w:val="nil"/>
          <w:between w:val="nil"/>
        </w:pBdr>
        <w:tabs>
          <w:tab w:val="left" w:pos="851"/>
          <w:tab w:val="left" w:pos="1170"/>
        </w:tabs>
        <w:spacing w:before="120" w:after="120" w:line="240" w:lineRule="auto"/>
        <w:ind w:left="0" w:firstLine="567"/>
        <w:jc w:val="both"/>
        <w:rPr>
          <w:rFonts w:ascii="Times New Roman" w:eastAsia="Times New Roman" w:hAnsi="Times New Roman" w:cs="Times New Roman"/>
          <w:b/>
          <w:sz w:val="28"/>
          <w:szCs w:val="28"/>
        </w:rPr>
      </w:pPr>
      <w:r w:rsidRPr="00FE0F93">
        <w:rPr>
          <w:rFonts w:ascii="Times New Roman" w:eastAsia="Times New Roman" w:hAnsi="Times New Roman" w:cs="Times New Roman"/>
          <w:b/>
          <w:sz w:val="28"/>
          <w:szCs w:val="28"/>
        </w:rPr>
        <w:t>Cơ quan, tổ chức, cá nhân lấy ý kiến</w:t>
      </w:r>
    </w:p>
    <w:p w14:paraId="6E3A8FE6" w14:textId="469B4BC0" w:rsidR="005F4B79" w:rsidRPr="00FE0F93" w:rsidRDefault="00870F04" w:rsidP="00ED65D3">
      <w:pPr>
        <w:widowControl w:val="0"/>
        <w:spacing w:before="120" w:after="120" w:line="240" w:lineRule="auto"/>
        <w:ind w:firstLine="567"/>
        <w:jc w:val="both"/>
        <w:rPr>
          <w:rFonts w:ascii="Times New Roman" w:eastAsia="Times New Roman" w:hAnsi="Times New Roman" w:cs="Times New Roman"/>
          <w:sz w:val="28"/>
          <w:szCs w:val="28"/>
          <w:lang w:val="en-US"/>
        </w:rPr>
      </w:pPr>
      <w:r w:rsidRPr="00FE0F93">
        <w:rPr>
          <w:rFonts w:ascii="Times New Roman" w:eastAsia="Times New Roman" w:hAnsi="Times New Roman" w:cs="Times New Roman"/>
          <w:sz w:val="28"/>
          <w:szCs w:val="28"/>
        </w:rPr>
        <w:t xml:space="preserve">Bộ Công Thương đã </w:t>
      </w:r>
      <w:r w:rsidR="00FE0F93" w:rsidRPr="00FE0F93">
        <w:rPr>
          <w:rFonts w:ascii="Times New Roman" w:eastAsia="Times New Roman" w:hAnsi="Times New Roman" w:cs="Times New Roman"/>
          <w:sz w:val="28"/>
          <w:szCs w:val="28"/>
          <w:lang w:val="en-US"/>
        </w:rPr>
        <w:t xml:space="preserve">gửi </w:t>
      </w:r>
      <w:r w:rsidRPr="00FE0F93">
        <w:rPr>
          <w:rFonts w:ascii="Times New Roman" w:eastAsia="Times New Roman" w:hAnsi="Times New Roman" w:cs="Times New Roman"/>
          <w:sz w:val="28"/>
          <w:szCs w:val="28"/>
        </w:rPr>
        <w:t xml:space="preserve">lấy ý kiến bằng văn bản của </w:t>
      </w:r>
      <w:r w:rsidR="006767DC" w:rsidRPr="00FE0F93">
        <w:rPr>
          <w:rFonts w:ascii="Times New Roman" w:eastAsia="Times New Roman" w:hAnsi="Times New Roman" w:cs="Times New Roman"/>
          <w:sz w:val="28"/>
          <w:szCs w:val="28"/>
          <w:lang w:val="en-US"/>
        </w:rPr>
        <w:t>2</w:t>
      </w:r>
      <w:r w:rsidR="00FE0F93" w:rsidRPr="00FE0F93">
        <w:rPr>
          <w:rFonts w:ascii="Times New Roman" w:eastAsia="Times New Roman" w:hAnsi="Times New Roman" w:cs="Times New Roman"/>
          <w:sz w:val="28"/>
          <w:szCs w:val="28"/>
          <w:lang w:val="en-US"/>
        </w:rPr>
        <w:t>0</w:t>
      </w:r>
      <w:r w:rsidR="006767DC" w:rsidRPr="00FE0F93">
        <w:rPr>
          <w:rFonts w:ascii="Times New Roman" w:eastAsia="Times New Roman" w:hAnsi="Times New Roman" w:cs="Times New Roman"/>
          <w:sz w:val="28"/>
          <w:szCs w:val="28"/>
        </w:rPr>
        <w:t xml:space="preserve"> </w:t>
      </w:r>
      <w:r w:rsidR="003C6A5B">
        <w:rPr>
          <w:rFonts w:ascii="Times New Roman" w:eastAsia="Times New Roman" w:hAnsi="Times New Roman" w:cs="Times New Roman"/>
          <w:sz w:val="28"/>
          <w:szCs w:val="28"/>
          <w:lang w:val="en-US"/>
        </w:rPr>
        <w:t xml:space="preserve">cơ quan, </w:t>
      </w:r>
      <w:r w:rsidRPr="00FE0F93">
        <w:rPr>
          <w:rFonts w:ascii="Times New Roman" w:eastAsia="Times New Roman" w:hAnsi="Times New Roman" w:cs="Times New Roman"/>
          <w:sz w:val="28"/>
          <w:szCs w:val="28"/>
        </w:rPr>
        <w:t xml:space="preserve">tổ chức và nhận được </w:t>
      </w:r>
      <w:r w:rsidR="002F7256">
        <w:rPr>
          <w:rFonts w:ascii="Times New Roman" w:eastAsia="Times New Roman" w:hAnsi="Times New Roman" w:cs="Times New Roman"/>
          <w:sz w:val="28"/>
          <w:szCs w:val="28"/>
          <w:lang w:val="en-GB"/>
        </w:rPr>
        <w:t>11</w:t>
      </w:r>
      <w:r w:rsidR="00572C4B" w:rsidRPr="00D10D61">
        <w:rPr>
          <w:rFonts w:ascii="Times New Roman" w:eastAsia="Times New Roman" w:hAnsi="Times New Roman" w:cs="Times New Roman"/>
          <w:sz w:val="28"/>
          <w:szCs w:val="28"/>
          <w:lang w:val="en-GB"/>
        </w:rPr>
        <w:t>/</w:t>
      </w:r>
      <w:r w:rsidR="003C6A5B">
        <w:rPr>
          <w:rFonts w:ascii="Times New Roman" w:eastAsia="Times New Roman" w:hAnsi="Times New Roman" w:cs="Times New Roman"/>
          <w:sz w:val="28"/>
          <w:szCs w:val="28"/>
          <w:lang w:val="en-GB"/>
        </w:rPr>
        <w:t>20</w:t>
      </w:r>
      <w:r w:rsidR="006767DC" w:rsidRPr="00D10D61">
        <w:rPr>
          <w:rFonts w:ascii="Times New Roman" w:eastAsia="Times New Roman" w:hAnsi="Times New Roman" w:cs="Times New Roman"/>
          <w:sz w:val="28"/>
          <w:szCs w:val="28"/>
          <w:lang w:val="en-GB"/>
        </w:rPr>
        <w:t xml:space="preserve"> </w:t>
      </w:r>
      <w:r w:rsidR="00572C4B" w:rsidRPr="00D10D61">
        <w:rPr>
          <w:rFonts w:ascii="Times New Roman" w:eastAsia="Times New Roman" w:hAnsi="Times New Roman" w:cs="Times New Roman"/>
          <w:sz w:val="28"/>
          <w:szCs w:val="28"/>
          <w:lang w:val="en-GB"/>
        </w:rPr>
        <w:t>ý kiến</w:t>
      </w:r>
      <w:r w:rsidRPr="00D10D61">
        <w:rPr>
          <w:rFonts w:ascii="Times New Roman" w:eastAsia="Times New Roman" w:hAnsi="Times New Roman" w:cs="Times New Roman"/>
          <w:sz w:val="28"/>
          <w:szCs w:val="28"/>
        </w:rPr>
        <w:t xml:space="preserve"> góp ý.</w:t>
      </w:r>
      <w:r w:rsidR="00572C4B" w:rsidRPr="00D10D61">
        <w:rPr>
          <w:rFonts w:ascii="Times New Roman" w:eastAsia="Times New Roman" w:hAnsi="Times New Roman" w:cs="Times New Roman"/>
          <w:sz w:val="28"/>
          <w:szCs w:val="28"/>
          <w:lang w:val="en-GB"/>
        </w:rPr>
        <w:t xml:space="preserve"> </w:t>
      </w:r>
    </w:p>
    <w:p w14:paraId="727B9045" w14:textId="56C32E8E" w:rsidR="005F4B79" w:rsidRPr="00D10D61" w:rsidRDefault="00870F04" w:rsidP="00C763B9">
      <w:pPr>
        <w:widowControl w:val="0"/>
        <w:spacing w:before="120" w:after="120" w:line="240" w:lineRule="auto"/>
        <w:ind w:firstLine="567"/>
        <w:jc w:val="both"/>
        <w:rPr>
          <w:rFonts w:ascii="Times New Roman" w:eastAsia="Times New Roman" w:hAnsi="Times New Roman" w:cs="Times New Roman"/>
          <w:bCs/>
          <w:sz w:val="28"/>
          <w:szCs w:val="28"/>
          <w:lang w:val="en-US"/>
        </w:rPr>
        <w:sectPr w:rsidR="005F4B79" w:rsidRPr="00D10D61" w:rsidSect="00030E25">
          <w:headerReference w:type="default" r:id="rId8"/>
          <w:pgSz w:w="11909" w:h="16834"/>
          <w:pgMar w:top="1134" w:right="1134" w:bottom="993" w:left="1701" w:header="454" w:footer="0" w:gutter="0"/>
          <w:pgNumType w:start="1"/>
          <w:cols w:space="720"/>
          <w:titlePg/>
        </w:sectPr>
      </w:pPr>
      <w:r w:rsidRPr="00D10D61">
        <w:rPr>
          <w:rFonts w:ascii="Times New Roman" w:eastAsia="Times New Roman" w:hAnsi="Times New Roman" w:cs="Times New Roman"/>
          <w:bCs/>
          <w:sz w:val="28"/>
          <w:szCs w:val="28"/>
        </w:rPr>
        <w:t xml:space="preserve">Trên cơ sở ý kiến của </w:t>
      </w:r>
      <w:r w:rsidR="005C45AE">
        <w:rPr>
          <w:rFonts w:ascii="Times New Roman" w:eastAsia="Times New Roman" w:hAnsi="Times New Roman" w:cs="Times New Roman"/>
          <w:bCs/>
          <w:sz w:val="28"/>
          <w:szCs w:val="28"/>
          <w:lang w:val="en-US"/>
        </w:rPr>
        <w:t>các cơ quan, tổ chức</w:t>
      </w:r>
      <w:r w:rsidRPr="00D10D61">
        <w:rPr>
          <w:rFonts w:ascii="Times New Roman" w:eastAsia="Times New Roman" w:hAnsi="Times New Roman" w:cs="Times New Roman"/>
          <w:bCs/>
          <w:sz w:val="28"/>
          <w:szCs w:val="28"/>
        </w:rPr>
        <w:t>, Bộ Công Thương đã tổng hợp đầy đủ các ý kiến góp ý và giải trình, tiếp thu ý kiến góp ý tại Bản</w:t>
      </w:r>
      <w:r w:rsidR="00AE377C" w:rsidRPr="00D10D61">
        <w:rPr>
          <w:rFonts w:ascii="Times New Roman" w:eastAsia="Times New Roman" w:hAnsi="Times New Roman" w:cs="Times New Roman"/>
          <w:bCs/>
          <w:sz w:val="28"/>
          <w:szCs w:val="28"/>
        </w:rPr>
        <w:t xml:space="preserve"> </w:t>
      </w:r>
      <w:r w:rsidR="00FE0F93" w:rsidRPr="00FE0F93">
        <w:rPr>
          <w:rFonts w:ascii="Times New Roman" w:eastAsia="Times New Roman" w:hAnsi="Times New Roman" w:cs="Times New Roman"/>
          <w:bCs/>
          <w:sz w:val="28"/>
          <w:szCs w:val="28"/>
          <w:lang w:val="en-US"/>
        </w:rPr>
        <w:t>t</w:t>
      </w:r>
      <w:r w:rsidR="00FE0F93" w:rsidRPr="00D10D61">
        <w:rPr>
          <w:rFonts w:ascii="Times New Roman" w:eastAsia="Times New Roman" w:hAnsi="Times New Roman" w:cs="Times New Roman"/>
          <w:bCs/>
          <w:sz w:val="28"/>
          <w:szCs w:val="28"/>
        </w:rPr>
        <w:t xml:space="preserve">ổng </w:t>
      </w:r>
      <w:r w:rsidRPr="00D10D61">
        <w:rPr>
          <w:rFonts w:ascii="Times New Roman" w:eastAsia="Times New Roman" w:hAnsi="Times New Roman" w:cs="Times New Roman"/>
          <w:bCs/>
          <w:sz w:val="28"/>
          <w:szCs w:val="28"/>
        </w:rPr>
        <w:t>hợp, giải trình, tiếp thu ý kiến góp ý sau đây</w:t>
      </w:r>
      <w:r w:rsidR="00C763B9" w:rsidRPr="00D10D61">
        <w:rPr>
          <w:rFonts w:ascii="Times New Roman" w:eastAsia="Times New Roman" w:hAnsi="Times New Roman" w:cs="Times New Roman"/>
          <w:bCs/>
          <w:sz w:val="28"/>
          <w:szCs w:val="28"/>
          <w:lang w:val="en-US"/>
        </w:rPr>
        <w:t>:</w:t>
      </w:r>
    </w:p>
    <w:p w14:paraId="66F0D792" w14:textId="1331BF9E" w:rsidR="00FE0F93" w:rsidRPr="00FE0F93" w:rsidRDefault="00870F04" w:rsidP="008742A2">
      <w:pPr>
        <w:widowControl w:val="0"/>
        <w:spacing w:before="120" w:after="120" w:line="240" w:lineRule="auto"/>
        <w:ind w:firstLine="567"/>
        <w:jc w:val="center"/>
        <w:rPr>
          <w:rFonts w:ascii="Times New Roman" w:eastAsia="Times New Roman" w:hAnsi="Times New Roman" w:cs="Times New Roman"/>
          <w:b/>
          <w:sz w:val="26"/>
          <w:szCs w:val="26"/>
        </w:rPr>
      </w:pPr>
      <w:r w:rsidRPr="00FE0F93">
        <w:rPr>
          <w:rFonts w:ascii="Times New Roman" w:eastAsia="Times New Roman" w:hAnsi="Times New Roman" w:cs="Times New Roman"/>
          <w:b/>
          <w:sz w:val="26"/>
          <w:szCs w:val="26"/>
        </w:rPr>
        <w:lastRenderedPageBreak/>
        <w:t xml:space="preserve">Bản tổng hợp, giải trình, tiếp thu ý kiến góp ý của cơ quan, tổ chức </w:t>
      </w:r>
    </w:p>
    <w:p w14:paraId="0955597C" w14:textId="77777777" w:rsidR="00FE0F93" w:rsidRPr="00FE0F93" w:rsidRDefault="00FE0F93" w:rsidP="00FE0F93">
      <w:pPr>
        <w:widowControl w:val="0"/>
        <w:spacing w:before="120" w:after="120" w:line="240" w:lineRule="auto"/>
        <w:ind w:firstLine="567"/>
        <w:jc w:val="center"/>
        <w:rPr>
          <w:rFonts w:ascii="Times New Roman" w:eastAsia="Times New Roman" w:hAnsi="Times New Roman" w:cs="Times New Roman"/>
          <w:b/>
          <w:sz w:val="26"/>
          <w:szCs w:val="26"/>
        </w:rPr>
      </w:pP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4"/>
        <w:gridCol w:w="1843"/>
        <w:gridCol w:w="1984"/>
        <w:gridCol w:w="5954"/>
        <w:gridCol w:w="4394"/>
      </w:tblGrid>
      <w:tr w:rsidR="00FE0F93" w:rsidRPr="00FE0F93" w14:paraId="43965EDF" w14:textId="77777777" w:rsidTr="00DC0CBB">
        <w:trPr>
          <w:trHeight w:val="454"/>
          <w:tblHeader/>
        </w:trPr>
        <w:tc>
          <w:tcPr>
            <w:tcW w:w="704" w:type="dxa"/>
            <w:tcMar>
              <w:top w:w="0" w:type="dxa"/>
              <w:left w:w="100" w:type="dxa"/>
              <w:bottom w:w="0" w:type="dxa"/>
              <w:right w:w="100" w:type="dxa"/>
            </w:tcMar>
            <w:vAlign w:val="center"/>
          </w:tcPr>
          <w:p w14:paraId="2A56A76A" w14:textId="77777777" w:rsidR="00FE0F93" w:rsidRPr="00D10D61" w:rsidRDefault="00FE0F93" w:rsidP="00CD3980">
            <w:pPr>
              <w:widowControl w:val="0"/>
              <w:spacing w:before="60" w:after="60" w:line="300" w:lineRule="exact"/>
              <w:jc w:val="center"/>
              <w:rPr>
                <w:rFonts w:ascii="Times New Roman" w:hAnsi="Times New Roman" w:cs="Times New Roman"/>
                <w:b/>
                <w:sz w:val="26"/>
                <w:szCs w:val="26"/>
              </w:rPr>
            </w:pPr>
            <w:r w:rsidRPr="00D10D61">
              <w:rPr>
                <w:rFonts w:ascii="Times New Roman" w:hAnsi="Times New Roman" w:cs="Times New Roman"/>
                <w:b/>
                <w:sz w:val="26"/>
                <w:szCs w:val="26"/>
              </w:rPr>
              <w:t>TT</w:t>
            </w:r>
          </w:p>
        </w:tc>
        <w:tc>
          <w:tcPr>
            <w:tcW w:w="1843" w:type="dxa"/>
          </w:tcPr>
          <w:p w14:paraId="59615E47" w14:textId="57284704" w:rsidR="00FE0F93" w:rsidRPr="00D10D61" w:rsidRDefault="00DC0CBB" w:rsidP="00CD3980">
            <w:pPr>
              <w:widowControl w:val="0"/>
              <w:spacing w:before="60" w:after="60" w:line="300" w:lineRule="exact"/>
              <w:jc w:val="center"/>
              <w:rPr>
                <w:rFonts w:ascii="Times New Roman" w:hAnsi="Times New Roman" w:cs="Times New Roman"/>
                <w:b/>
                <w:sz w:val="26"/>
                <w:szCs w:val="26"/>
              </w:rPr>
            </w:pPr>
            <w:r>
              <w:rPr>
                <w:rFonts w:ascii="Times New Roman" w:hAnsi="Times New Roman" w:cs="Times New Roman"/>
                <w:b/>
                <w:sz w:val="26"/>
                <w:szCs w:val="26"/>
                <w:lang w:val="en-US"/>
              </w:rPr>
              <w:t>NHÓM VẤN ĐỀ/</w:t>
            </w:r>
            <w:r w:rsidR="00FE0F93" w:rsidRPr="00D10D61">
              <w:rPr>
                <w:rFonts w:ascii="Times New Roman" w:hAnsi="Times New Roman" w:cs="Times New Roman"/>
                <w:b/>
                <w:sz w:val="26"/>
                <w:szCs w:val="26"/>
              </w:rPr>
              <w:t>ĐIỀU, KHOẢN</w:t>
            </w:r>
          </w:p>
        </w:tc>
        <w:tc>
          <w:tcPr>
            <w:tcW w:w="1984" w:type="dxa"/>
            <w:tcMar>
              <w:top w:w="0" w:type="dxa"/>
              <w:left w:w="100" w:type="dxa"/>
              <w:bottom w:w="0" w:type="dxa"/>
              <w:right w:w="100" w:type="dxa"/>
            </w:tcMar>
            <w:vAlign w:val="center"/>
          </w:tcPr>
          <w:p w14:paraId="076AC2A8" w14:textId="77777777" w:rsidR="00FE0F93" w:rsidRPr="00D10D61" w:rsidRDefault="00FE0F93" w:rsidP="00CD3980">
            <w:pPr>
              <w:widowControl w:val="0"/>
              <w:spacing w:before="60" w:after="60" w:line="300" w:lineRule="exact"/>
              <w:jc w:val="center"/>
              <w:rPr>
                <w:rFonts w:ascii="Times New Roman" w:hAnsi="Times New Roman" w:cs="Times New Roman"/>
                <w:b/>
                <w:sz w:val="26"/>
                <w:szCs w:val="26"/>
              </w:rPr>
            </w:pPr>
            <w:r w:rsidRPr="00D10D61">
              <w:rPr>
                <w:rFonts w:ascii="Times New Roman" w:hAnsi="Times New Roman" w:cs="Times New Roman"/>
                <w:b/>
                <w:sz w:val="26"/>
                <w:szCs w:val="26"/>
              </w:rPr>
              <w:t>CHỦ THỂ GÓP Ý</w:t>
            </w:r>
          </w:p>
        </w:tc>
        <w:tc>
          <w:tcPr>
            <w:tcW w:w="5954" w:type="dxa"/>
            <w:tcMar>
              <w:top w:w="0" w:type="dxa"/>
              <w:left w:w="100" w:type="dxa"/>
              <w:bottom w:w="0" w:type="dxa"/>
              <w:right w:w="100" w:type="dxa"/>
            </w:tcMar>
            <w:vAlign w:val="center"/>
          </w:tcPr>
          <w:p w14:paraId="25BA59FC" w14:textId="77777777" w:rsidR="00FE0F93" w:rsidRPr="00D10D61" w:rsidRDefault="00FE0F93" w:rsidP="00CD3980">
            <w:pPr>
              <w:widowControl w:val="0"/>
              <w:spacing w:before="60" w:after="60" w:line="300" w:lineRule="exact"/>
              <w:jc w:val="center"/>
              <w:rPr>
                <w:rFonts w:ascii="Times New Roman" w:hAnsi="Times New Roman" w:cs="Times New Roman"/>
                <w:b/>
                <w:sz w:val="26"/>
                <w:szCs w:val="26"/>
              </w:rPr>
            </w:pPr>
            <w:r w:rsidRPr="00D10D61">
              <w:rPr>
                <w:rFonts w:ascii="Times New Roman" w:hAnsi="Times New Roman" w:cs="Times New Roman"/>
                <w:b/>
                <w:sz w:val="26"/>
                <w:szCs w:val="26"/>
              </w:rPr>
              <w:t>NỘI DUNG GÓP Ý</w:t>
            </w:r>
          </w:p>
        </w:tc>
        <w:tc>
          <w:tcPr>
            <w:tcW w:w="4394" w:type="dxa"/>
            <w:shd w:val="clear" w:color="auto" w:fill="auto"/>
            <w:tcMar>
              <w:top w:w="0" w:type="dxa"/>
              <w:left w:w="100" w:type="dxa"/>
              <w:bottom w:w="0" w:type="dxa"/>
              <w:right w:w="100" w:type="dxa"/>
            </w:tcMar>
            <w:vAlign w:val="center"/>
          </w:tcPr>
          <w:p w14:paraId="791ADFCD" w14:textId="77777777" w:rsidR="00FE0F93" w:rsidRPr="00D10D61" w:rsidRDefault="00FE0F93" w:rsidP="00CD3980">
            <w:pPr>
              <w:widowControl w:val="0"/>
              <w:spacing w:before="60" w:after="60" w:line="300" w:lineRule="exact"/>
              <w:jc w:val="center"/>
              <w:rPr>
                <w:rFonts w:ascii="Times New Roman" w:hAnsi="Times New Roman" w:cs="Times New Roman"/>
                <w:b/>
                <w:sz w:val="26"/>
                <w:szCs w:val="26"/>
              </w:rPr>
            </w:pPr>
            <w:r w:rsidRPr="00D10D61">
              <w:rPr>
                <w:rFonts w:ascii="Times New Roman" w:hAnsi="Times New Roman" w:cs="Times New Roman"/>
                <w:b/>
                <w:sz w:val="26"/>
                <w:szCs w:val="26"/>
              </w:rPr>
              <w:t xml:space="preserve">NỘI DUNG </w:t>
            </w:r>
          </w:p>
          <w:p w14:paraId="1708B1B6" w14:textId="77777777" w:rsidR="00FE0F93" w:rsidRPr="00D10D61" w:rsidRDefault="00FE0F93" w:rsidP="00CD3980">
            <w:pPr>
              <w:widowControl w:val="0"/>
              <w:spacing w:before="60" w:after="60" w:line="300" w:lineRule="exact"/>
              <w:jc w:val="center"/>
              <w:rPr>
                <w:rFonts w:ascii="Times New Roman" w:hAnsi="Times New Roman" w:cs="Times New Roman"/>
                <w:b/>
                <w:sz w:val="26"/>
                <w:szCs w:val="26"/>
              </w:rPr>
            </w:pPr>
            <w:r w:rsidRPr="00D10D61">
              <w:rPr>
                <w:rFonts w:ascii="Times New Roman" w:hAnsi="Times New Roman" w:cs="Times New Roman"/>
                <w:b/>
                <w:sz w:val="26"/>
                <w:szCs w:val="26"/>
              </w:rPr>
              <w:t>TIẾP THU, GIẢI TRÌNH</w:t>
            </w:r>
          </w:p>
        </w:tc>
      </w:tr>
      <w:tr w:rsidR="00DC0CBB" w:rsidRPr="00FE0F93" w14:paraId="1CA99D55" w14:textId="77777777" w:rsidTr="00CE418B">
        <w:trPr>
          <w:trHeight w:val="454"/>
        </w:trPr>
        <w:tc>
          <w:tcPr>
            <w:tcW w:w="704" w:type="dxa"/>
            <w:shd w:val="clear" w:color="auto" w:fill="auto"/>
            <w:tcMar>
              <w:top w:w="0" w:type="dxa"/>
              <w:left w:w="100" w:type="dxa"/>
              <w:bottom w:w="0" w:type="dxa"/>
              <w:right w:w="100" w:type="dxa"/>
            </w:tcMar>
          </w:tcPr>
          <w:p w14:paraId="49A511C0" w14:textId="77777777" w:rsidR="00DC0CBB" w:rsidRPr="00D10D61" w:rsidRDefault="00DC0CBB" w:rsidP="00CD3980">
            <w:pPr>
              <w:widowControl w:val="0"/>
              <w:numPr>
                <w:ilvl w:val="0"/>
                <w:numId w:val="17"/>
              </w:numPr>
              <w:pBdr>
                <w:top w:val="nil"/>
                <w:left w:val="nil"/>
                <w:bottom w:val="nil"/>
                <w:right w:val="nil"/>
                <w:between w:val="nil"/>
              </w:pBdr>
              <w:spacing w:before="60" w:after="60" w:line="300" w:lineRule="exact"/>
              <w:ind w:left="0" w:firstLine="0"/>
              <w:jc w:val="center"/>
              <w:rPr>
                <w:rFonts w:ascii="Times New Roman" w:hAnsi="Times New Roman" w:cs="Times New Roman"/>
                <w:sz w:val="26"/>
                <w:szCs w:val="26"/>
              </w:rPr>
            </w:pPr>
          </w:p>
        </w:tc>
        <w:tc>
          <w:tcPr>
            <w:tcW w:w="1843" w:type="dxa"/>
          </w:tcPr>
          <w:p w14:paraId="5CA6D188" w14:textId="5AFF51E2" w:rsidR="00DC0CBB" w:rsidRDefault="00DC0CBB" w:rsidP="00CD3980">
            <w:pPr>
              <w:widowControl w:val="0"/>
              <w:spacing w:before="60" w:after="60" w:line="300" w:lineRule="exact"/>
              <w:jc w:val="both"/>
              <w:rPr>
                <w:rFonts w:ascii="Times New Roman" w:hAnsi="Times New Roman" w:cs="Times New Roman"/>
                <w:sz w:val="26"/>
                <w:szCs w:val="26"/>
                <w:lang w:val="en-US"/>
              </w:rPr>
            </w:pPr>
            <w:r w:rsidRPr="00DC0CBB">
              <w:rPr>
                <w:rFonts w:ascii="Times New Roman" w:hAnsi="Times New Roman" w:cs="Times New Roman"/>
                <w:sz w:val="26"/>
                <w:szCs w:val="26"/>
                <w:lang w:val="en-US"/>
              </w:rPr>
              <w:t>Thống nhất</w:t>
            </w:r>
            <w:r>
              <w:rPr>
                <w:rFonts w:ascii="Times New Roman" w:hAnsi="Times New Roman" w:cs="Times New Roman"/>
                <w:sz w:val="26"/>
                <w:szCs w:val="26"/>
                <w:lang w:val="en-US"/>
              </w:rPr>
              <w:t xml:space="preserve"> với nội dung dự thảo Quyết định hoặc sự cần thiết ban hành Quyết định</w:t>
            </w:r>
          </w:p>
        </w:tc>
        <w:tc>
          <w:tcPr>
            <w:tcW w:w="7938" w:type="dxa"/>
            <w:gridSpan w:val="2"/>
            <w:shd w:val="clear" w:color="auto" w:fill="auto"/>
            <w:tcMar>
              <w:top w:w="0" w:type="dxa"/>
              <w:left w:w="100" w:type="dxa"/>
              <w:bottom w:w="0" w:type="dxa"/>
              <w:right w:w="100" w:type="dxa"/>
            </w:tcMar>
          </w:tcPr>
          <w:p w14:paraId="79CAFE10" w14:textId="6610BAA2" w:rsidR="00DC0CBB" w:rsidRDefault="00DC0CBB" w:rsidP="00DC0CBB">
            <w:pPr>
              <w:spacing w:before="60" w:line="240" w:lineRule="auto"/>
              <w:jc w:val="both"/>
              <w:rPr>
                <w:rFonts w:ascii="Times New Roman" w:eastAsia="Times New Roman" w:hAnsi="Times New Roman" w:cs="Times New Roman"/>
                <w:bCs/>
                <w:iCs/>
                <w:sz w:val="26"/>
                <w:szCs w:val="26"/>
                <w:lang w:val="nl-NL"/>
              </w:rPr>
            </w:pPr>
            <w:r>
              <w:rPr>
                <w:rFonts w:ascii="Times New Roman" w:eastAsia="Times New Roman" w:hAnsi="Times New Roman" w:cs="Times New Roman"/>
                <w:bCs/>
                <w:iCs/>
                <w:sz w:val="26"/>
                <w:szCs w:val="26"/>
                <w:lang w:val="nl-NL"/>
              </w:rPr>
              <w:t>1. Thống nhất với nội dung dự thảo Quyết định:</w:t>
            </w:r>
          </w:p>
          <w:p w14:paraId="7FC47685" w14:textId="0376FC26" w:rsidR="005B5B78" w:rsidRDefault="005B5B78" w:rsidP="00DC0CBB">
            <w:pPr>
              <w:spacing w:before="60" w:line="240" w:lineRule="auto"/>
              <w:jc w:val="both"/>
              <w:rPr>
                <w:rFonts w:ascii="Times New Roman" w:eastAsia="Times New Roman" w:hAnsi="Times New Roman" w:cs="Times New Roman"/>
                <w:bCs/>
                <w:iCs/>
                <w:sz w:val="26"/>
                <w:szCs w:val="26"/>
                <w:lang w:val="nl-NL"/>
              </w:rPr>
            </w:pPr>
            <w:r>
              <w:rPr>
                <w:rFonts w:ascii="Times New Roman" w:eastAsia="Times New Roman" w:hAnsi="Times New Roman" w:cs="Times New Roman"/>
                <w:bCs/>
                <w:iCs/>
                <w:sz w:val="26"/>
                <w:szCs w:val="26"/>
                <w:lang w:val="nl-NL"/>
              </w:rPr>
              <w:t>- Bộ Ngoại giao;</w:t>
            </w:r>
          </w:p>
          <w:p w14:paraId="2AD4D6CF" w14:textId="157334FC" w:rsidR="000B72D0" w:rsidRDefault="00CC2659" w:rsidP="00DC0CBB">
            <w:pPr>
              <w:spacing w:before="60" w:line="240" w:lineRule="auto"/>
              <w:jc w:val="both"/>
              <w:rPr>
                <w:rFonts w:ascii="Times New Roman" w:eastAsia="Times New Roman" w:hAnsi="Times New Roman" w:cs="Times New Roman"/>
                <w:bCs/>
                <w:iCs/>
                <w:sz w:val="26"/>
                <w:szCs w:val="26"/>
                <w:lang w:val="nl-NL"/>
              </w:rPr>
            </w:pPr>
            <w:r>
              <w:rPr>
                <w:rFonts w:ascii="Times New Roman" w:eastAsia="Times New Roman" w:hAnsi="Times New Roman" w:cs="Times New Roman"/>
                <w:bCs/>
                <w:iCs/>
                <w:sz w:val="26"/>
                <w:szCs w:val="26"/>
                <w:lang w:val="nl-NL"/>
              </w:rPr>
              <w:t>- Tập đoàn Điệ</w:t>
            </w:r>
            <w:bookmarkStart w:id="1" w:name="_GoBack"/>
            <w:bookmarkEnd w:id="1"/>
            <w:r>
              <w:rPr>
                <w:rFonts w:ascii="Times New Roman" w:eastAsia="Times New Roman" w:hAnsi="Times New Roman" w:cs="Times New Roman"/>
                <w:bCs/>
                <w:iCs/>
                <w:sz w:val="26"/>
                <w:szCs w:val="26"/>
                <w:lang w:val="nl-NL"/>
              </w:rPr>
              <w:t>n lực Việt N</w:t>
            </w:r>
            <w:r w:rsidR="000B72D0">
              <w:rPr>
                <w:rFonts w:ascii="Times New Roman" w:eastAsia="Times New Roman" w:hAnsi="Times New Roman" w:cs="Times New Roman"/>
                <w:bCs/>
                <w:iCs/>
                <w:sz w:val="26"/>
                <w:szCs w:val="26"/>
                <w:lang w:val="nl-NL"/>
              </w:rPr>
              <w:t>am</w:t>
            </w:r>
            <w:r>
              <w:rPr>
                <w:rFonts w:ascii="Times New Roman" w:eastAsia="Times New Roman" w:hAnsi="Times New Roman" w:cs="Times New Roman"/>
                <w:bCs/>
                <w:iCs/>
                <w:sz w:val="26"/>
                <w:szCs w:val="26"/>
                <w:lang w:val="nl-NL"/>
              </w:rPr>
              <w:t>;</w:t>
            </w:r>
          </w:p>
          <w:p w14:paraId="405C4216" w14:textId="63F09E9A" w:rsidR="00DC0CBB" w:rsidRDefault="00DC0CBB" w:rsidP="00DC0CBB">
            <w:pPr>
              <w:spacing w:before="60" w:line="240" w:lineRule="auto"/>
              <w:jc w:val="both"/>
              <w:rPr>
                <w:rFonts w:ascii="Times New Roman" w:eastAsia="Times New Roman" w:hAnsi="Times New Roman" w:cs="Times New Roman"/>
                <w:bCs/>
                <w:iCs/>
                <w:sz w:val="26"/>
                <w:szCs w:val="26"/>
                <w:lang w:val="nl-NL"/>
              </w:rPr>
            </w:pPr>
            <w:r>
              <w:rPr>
                <w:rFonts w:ascii="Times New Roman" w:eastAsia="Times New Roman" w:hAnsi="Times New Roman" w:cs="Times New Roman"/>
                <w:bCs/>
                <w:iCs/>
                <w:sz w:val="26"/>
                <w:szCs w:val="26"/>
                <w:lang w:val="nl-NL"/>
              </w:rPr>
              <w:t>- Tổng công ty Điện lực thành phố Hồ Chí Minh;</w:t>
            </w:r>
          </w:p>
          <w:p w14:paraId="21017102" w14:textId="3ADEC0E2" w:rsidR="000B72D0" w:rsidRDefault="000B72D0" w:rsidP="00DC0CBB">
            <w:pPr>
              <w:spacing w:before="60" w:line="240" w:lineRule="auto"/>
              <w:jc w:val="both"/>
              <w:rPr>
                <w:rFonts w:ascii="Times New Roman" w:eastAsia="Times New Roman" w:hAnsi="Times New Roman" w:cs="Times New Roman"/>
                <w:bCs/>
                <w:iCs/>
                <w:sz w:val="26"/>
                <w:szCs w:val="26"/>
                <w:lang w:val="nl-NL"/>
              </w:rPr>
            </w:pPr>
            <w:r>
              <w:rPr>
                <w:rFonts w:ascii="Times New Roman" w:eastAsia="Times New Roman" w:hAnsi="Times New Roman" w:cs="Times New Roman"/>
                <w:bCs/>
                <w:iCs/>
                <w:sz w:val="26"/>
                <w:szCs w:val="26"/>
                <w:lang w:val="nl-NL"/>
              </w:rPr>
              <w:t>- Tổng công ty Điện lực thành phố Hà Nội</w:t>
            </w:r>
            <w:r w:rsidR="00CC2659">
              <w:rPr>
                <w:rFonts w:ascii="Times New Roman" w:eastAsia="Times New Roman" w:hAnsi="Times New Roman" w:cs="Times New Roman"/>
                <w:bCs/>
                <w:iCs/>
                <w:sz w:val="26"/>
                <w:szCs w:val="26"/>
                <w:lang w:val="nl-NL"/>
              </w:rPr>
              <w:t>.</w:t>
            </w:r>
          </w:p>
          <w:p w14:paraId="04D078EF" w14:textId="77777777" w:rsidR="00DC0CBB" w:rsidRDefault="00DC0CBB" w:rsidP="00DC0CBB">
            <w:pPr>
              <w:spacing w:before="60" w:line="240" w:lineRule="auto"/>
              <w:jc w:val="both"/>
              <w:rPr>
                <w:rFonts w:ascii="Times New Roman" w:eastAsia="Times New Roman" w:hAnsi="Times New Roman" w:cs="Times New Roman"/>
                <w:bCs/>
                <w:iCs/>
                <w:sz w:val="26"/>
                <w:szCs w:val="26"/>
                <w:lang w:val="nl-NL"/>
              </w:rPr>
            </w:pPr>
            <w:r>
              <w:rPr>
                <w:rFonts w:ascii="Times New Roman" w:eastAsia="Times New Roman" w:hAnsi="Times New Roman" w:cs="Times New Roman"/>
                <w:bCs/>
                <w:iCs/>
                <w:sz w:val="26"/>
                <w:szCs w:val="26"/>
                <w:lang w:val="nl-NL"/>
              </w:rPr>
              <w:t>2. Thống nhất với sự cần thiết ban hành Quyết định:</w:t>
            </w:r>
          </w:p>
          <w:p w14:paraId="0606F5C4" w14:textId="5289D676" w:rsidR="00DC0CBB" w:rsidRDefault="00DC0CBB" w:rsidP="00DC0CBB">
            <w:pPr>
              <w:spacing w:before="60" w:line="240" w:lineRule="auto"/>
              <w:jc w:val="both"/>
              <w:rPr>
                <w:rFonts w:ascii="Times New Roman" w:eastAsia="Times New Roman" w:hAnsi="Times New Roman" w:cs="Times New Roman"/>
                <w:bCs/>
                <w:iCs/>
                <w:sz w:val="26"/>
                <w:szCs w:val="26"/>
                <w:lang w:val="nl-NL"/>
              </w:rPr>
            </w:pPr>
            <w:r>
              <w:rPr>
                <w:rFonts w:ascii="Times New Roman" w:eastAsia="Times New Roman" w:hAnsi="Times New Roman" w:cs="Times New Roman"/>
                <w:bCs/>
                <w:iCs/>
                <w:sz w:val="26"/>
                <w:szCs w:val="26"/>
                <w:lang w:val="nl-NL"/>
              </w:rPr>
              <w:t>- Bộ Nội vụ;</w:t>
            </w:r>
          </w:p>
          <w:p w14:paraId="0CF5540C" w14:textId="6E5F7ECF" w:rsidR="00D34680" w:rsidRDefault="00D34680" w:rsidP="00DC0CBB">
            <w:pPr>
              <w:spacing w:before="60" w:line="240" w:lineRule="auto"/>
              <w:jc w:val="both"/>
              <w:rPr>
                <w:rFonts w:ascii="Times New Roman" w:eastAsia="Times New Roman" w:hAnsi="Times New Roman" w:cs="Times New Roman"/>
                <w:bCs/>
                <w:iCs/>
                <w:sz w:val="26"/>
                <w:szCs w:val="26"/>
                <w:lang w:val="nl-NL"/>
              </w:rPr>
            </w:pPr>
            <w:r>
              <w:rPr>
                <w:rFonts w:ascii="Times New Roman" w:eastAsia="Times New Roman" w:hAnsi="Times New Roman" w:cs="Times New Roman"/>
                <w:bCs/>
                <w:iCs/>
                <w:sz w:val="26"/>
                <w:szCs w:val="26"/>
                <w:lang w:val="nl-NL"/>
              </w:rPr>
              <w:t>- Bộ Tư pháp;</w:t>
            </w:r>
          </w:p>
          <w:p w14:paraId="3FA6F737" w14:textId="779FF2E1" w:rsidR="00DC0CBB" w:rsidRPr="009210B5" w:rsidRDefault="00DC0CBB" w:rsidP="00DC0CBB">
            <w:pPr>
              <w:spacing w:before="60" w:line="240" w:lineRule="auto"/>
              <w:jc w:val="both"/>
              <w:rPr>
                <w:rFonts w:ascii="Times New Roman" w:eastAsia="Times New Roman" w:hAnsi="Times New Roman" w:cs="Times New Roman"/>
                <w:bCs/>
                <w:iCs/>
                <w:sz w:val="26"/>
                <w:szCs w:val="26"/>
                <w:lang w:val="nl-NL"/>
              </w:rPr>
            </w:pPr>
            <w:r>
              <w:rPr>
                <w:rFonts w:ascii="Times New Roman" w:eastAsia="Times New Roman" w:hAnsi="Times New Roman" w:cs="Times New Roman"/>
                <w:bCs/>
                <w:iCs/>
                <w:sz w:val="26"/>
                <w:szCs w:val="26"/>
                <w:lang w:val="nl-NL"/>
              </w:rPr>
              <w:t>- Vụ Kế ho</w:t>
            </w:r>
            <w:r w:rsidR="00CC2659">
              <w:rPr>
                <w:rFonts w:ascii="Times New Roman" w:eastAsia="Times New Roman" w:hAnsi="Times New Roman" w:cs="Times New Roman"/>
                <w:bCs/>
                <w:iCs/>
                <w:sz w:val="26"/>
                <w:szCs w:val="26"/>
                <w:lang w:val="nl-NL"/>
              </w:rPr>
              <w:t>ạch - Tài chính, Bộ Công Thương.</w:t>
            </w:r>
          </w:p>
        </w:tc>
        <w:tc>
          <w:tcPr>
            <w:tcW w:w="4394" w:type="dxa"/>
            <w:shd w:val="clear" w:color="auto" w:fill="auto"/>
            <w:tcMar>
              <w:top w:w="0" w:type="dxa"/>
              <w:left w:w="100" w:type="dxa"/>
              <w:bottom w:w="0" w:type="dxa"/>
              <w:right w:w="100" w:type="dxa"/>
            </w:tcMar>
          </w:tcPr>
          <w:p w14:paraId="0366DFF0" w14:textId="77777777" w:rsidR="00DC0CBB" w:rsidRPr="009210B5" w:rsidRDefault="00DC0CBB" w:rsidP="00CD3980">
            <w:pPr>
              <w:widowControl w:val="0"/>
              <w:spacing w:before="60" w:after="60" w:line="300" w:lineRule="exact"/>
              <w:ind w:firstLine="327"/>
              <w:jc w:val="both"/>
              <w:rPr>
                <w:rFonts w:ascii="Times New Roman" w:hAnsi="Times New Roman" w:cs="Times New Roman"/>
                <w:sz w:val="26"/>
                <w:szCs w:val="26"/>
                <w:lang w:val="en-US"/>
              </w:rPr>
            </w:pPr>
          </w:p>
        </w:tc>
      </w:tr>
      <w:tr w:rsidR="00DC0CBB" w:rsidRPr="00FE0F93" w14:paraId="07CCA61B" w14:textId="77777777" w:rsidTr="00B4684C">
        <w:trPr>
          <w:trHeight w:val="454"/>
        </w:trPr>
        <w:tc>
          <w:tcPr>
            <w:tcW w:w="704" w:type="dxa"/>
            <w:shd w:val="clear" w:color="auto" w:fill="auto"/>
            <w:tcMar>
              <w:top w:w="0" w:type="dxa"/>
              <w:left w:w="100" w:type="dxa"/>
              <w:bottom w:w="0" w:type="dxa"/>
              <w:right w:w="100" w:type="dxa"/>
            </w:tcMar>
          </w:tcPr>
          <w:p w14:paraId="123B4EB8" w14:textId="77777777" w:rsidR="00DC0CBB" w:rsidRPr="00D10D61" w:rsidRDefault="00DC0CBB" w:rsidP="00CD3980">
            <w:pPr>
              <w:widowControl w:val="0"/>
              <w:numPr>
                <w:ilvl w:val="0"/>
                <w:numId w:val="17"/>
              </w:numPr>
              <w:pBdr>
                <w:top w:val="nil"/>
                <w:left w:val="nil"/>
                <w:bottom w:val="nil"/>
                <w:right w:val="nil"/>
                <w:between w:val="nil"/>
              </w:pBdr>
              <w:spacing w:before="60" w:after="60" w:line="300" w:lineRule="exact"/>
              <w:ind w:left="0" w:firstLine="0"/>
              <w:jc w:val="center"/>
              <w:rPr>
                <w:rFonts w:ascii="Times New Roman" w:hAnsi="Times New Roman" w:cs="Times New Roman"/>
                <w:sz w:val="26"/>
                <w:szCs w:val="26"/>
              </w:rPr>
            </w:pPr>
          </w:p>
        </w:tc>
        <w:tc>
          <w:tcPr>
            <w:tcW w:w="1843" w:type="dxa"/>
          </w:tcPr>
          <w:p w14:paraId="0847937B" w14:textId="6E7B3AF5" w:rsidR="00DC0CBB" w:rsidRDefault="00DC0CBB" w:rsidP="00CD3980">
            <w:pPr>
              <w:widowControl w:val="0"/>
              <w:spacing w:before="60" w:after="60" w:line="300" w:lineRule="exact"/>
              <w:jc w:val="both"/>
              <w:rPr>
                <w:rFonts w:ascii="Times New Roman" w:hAnsi="Times New Roman" w:cs="Times New Roman"/>
                <w:sz w:val="26"/>
                <w:szCs w:val="26"/>
                <w:lang w:val="en-US"/>
              </w:rPr>
            </w:pPr>
            <w:r>
              <w:rPr>
                <w:rFonts w:ascii="Times New Roman" w:hAnsi="Times New Roman" w:cs="Times New Roman"/>
                <w:sz w:val="26"/>
                <w:szCs w:val="26"/>
                <w:lang w:val="en-US"/>
              </w:rPr>
              <w:t>Không có ý kiến góp ý đối với nội dung dự thảo Quyết định</w:t>
            </w:r>
          </w:p>
        </w:tc>
        <w:tc>
          <w:tcPr>
            <w:tcW w:w="7938" w:type="dxa"/>
            <w:gridSpan w:val="2"/>
            <w:shd w:val="clear" w:color="auto" w:fill="auto"/>
            <w:tcMar>
              <w:top w:w="0" w:type="dxa"/>
              <w:left w:w="100" w:type="dxa"/>
              <w:bottom w:w="0" w:type="dxa"/>
              <w:right w:w="100" w:type="dxa"/>
            </w:tcMar>
          </w:tcPr>
          <w:p w14:paraId="74C2CCDB" w14:textId="77777777" w:rsidR="00DC0CBB" w:rsidRDefault="00DC0CBB" w:rsidP="00DC0CBB">
            <w:pPr>
              <w:spacing w:before="60" w:line="240" w:lineRule="auto"/>
              <w:jc w:val="both"/>
              <w:rPr>
                <w:rFonts w:ascii="Times New Roman" w:eastAsia="Times New Roman" w:hAnsi="Times New Roman" w:cs="Times New Roman"/>
                <w:bCs/>
                <w:iCs/>
                <w:sz w:val="26"/>
                <w:szCs w:val="26"/>
                <w:lang w:val="nl-NL"/>
              </w:rPr>
            </w:pPr>
            <w:r>
              <w:rPr>
                <w:rFonts w:ascii="Times New Roman" w:eastAsia="Times New Roman" w:hAnsi="Times New Roman" w:cs="Times New Roman"/>
                <w:bCs/>
                <w:iCs/>
                <w:sz w:val="26"/>
                <w:szCs w:val="26"/>
                <w:lang w:val="nl-NL"/>
              </w:rPr>
              <w:t>- Ủy ban Cạnh tranh Quốc gia - Bộ Công Thương;</w:t>
            </w:r>
          </w:p>
          <w:p w14:paraId="6114BC2F" w14:textId="77777777" w:rsidR="000B72D0" w:rsidRDefault="000B72D0" w:rsidP="00DC0CBB">
            <w:pPr>
              <w:spacing w:before="60" w:line="240" w:lineRule="auto"/>
              <w:jc w:val="both"/>
              <w:rPr>
                <w:rFonts w:ascii="Times New Roman" w:eastAsia="Times New Roman" w:hAnsi="Times New Roman" w:cs="Times New Roman"/>
                <w:bCs/>
                <w:iCs/>
                <w:sz w:val="26"/>
                <w:szCs w:val="26"/>
                <w:lang w:val="nl-NL"/>
              </w:rPr>
            </w:pPr>
            <w:r>
              <w:rPr>
                <w:rFonts w:ascii="Times New Roman" w:eastAsia="Times New Roman" w:hAnsi="Times New Roman" w:cs="Times New Roman"/>
                <w:bCs/>
                <w:iCs/>
                <w:sz w:val="26"/>
                <w:szCs w:val="26"/>
                <w:lang w:val="nl-NL"/>
              </w:rPr>
              <w:t>- Tổng công ty Điện lực miền Trung</w:t>
            </w:r>
            <w:r w:rsidR="002F7256">
              <w:rPr>
                <w:rFonts w:ascii="Times New Roman" w:eastAsia="Times New Roman" w:hAnsi="Times New Roman" w:cs="Times New Roman"/>
                <w:bCs/>
                <w:iCs/>
                <w:sz w:val="26"/>
                <w:szCs w:val="26"/>
                <w:lang w:val="nl-NL"/>
              </w:rPr>
              <w:t>;</w:t>
            </w:r>
          </w:p>
          <w:p w14:paraId="1B300429" w14:textId="44C514D5" w:rsidR="002F7256" w:rsidRPr="009210B5" w:rsidRDefault="002F7256" w:rsidP="00DC0CBB">
            <w:pPr>
              <w:spacing w:before="60" w:line="240" w:lineRule="auto"/>
              <w:jc w:val="both"/>
              <w:rPr>
                <w:rFonts w:ascii="Times New Roman" w:eastAsia="Times New Roman" w:hAnsi="Times New Roman" w:cs="Times New Roman"/>
                <w:bCs/>
                <w:iCs/>
                <w:sz w:val="26"/>
                <w:szCs w:val="26"/>
                <w:lang w:val="nl-NL"/>
              </w:rPr>
            </w:pPr>
            <w:r>
              <w:rPr>
                <w:rFonts w:ascii="Times New Roman" w:eastAsia="Times New Roman" w:hAnsi="Times New Roman" w:cs="Times New Roman"/>
                <w:bCs/>
                <w:iCs/>
                <w:sz w:val="26"/>
                <w:szCs w:val="26"/>
                <w:lang w:val="nl-NL"/>
              </w:rPr>
              <w:t>- Công ty TNHH MTV Vận hành hệ thống điện và thị trường điện Quốc gia.</w:t>
            </w:r>
          </w:p>
        </w:tc>
        <w:tc>
          <w:tcPr>
            <w:tcW w:w="4394" w:type="dxa"/>
            <w:shd w:val="clear" w:color="auto" w:fill="auto"/>
            <w:tcMar>
              <w:top w:w="0" w:type="dxa"/>
              <w:left w:w="100" w:type="dxa"/>
              <w:bottom w:w="0" w:type="dxa"/>
              <w:right w:w="100" w:type="dxa"/>
            </w:tcMar>
          </w:tcPr>
          <w:p w14:paraId="1C1C6147" w14:textId="77777777" w:rsidR="00DC0CBB" w:rsidRPr="009210B5" w:rsidRDefault="00DC0CBB" w:rsidP="00CD3980">
            <w:pPr>
              <w:widowControl w:val="0"/>
              <w:spacing w:before="60" w:after="60" w:line="300" w:lineRule="exact"/>
              <w:ind w:firstLine="327"/>
              <w:jc w:val="both"/>
              <w:rPr>
                <w:rFonts w:ascii="Times New Roman" w:hAnsi="Times New Roman" w:cs="Times New Roman"/>
                <w:sz w:val="26"/>
                <w:szCs w:val="26"/>
                <w:lang w:val="en-US"/>
              </w:rPr>
            </w:pPr>
          </w:p>
        </w:tc>
      </w:tr>
      <w:tr w:rsidR="009210B5" w:rsidRPr="00FE0F93" w14:paraId="35F07D0B" w14:textId="77777777" w:rsidTr="00DC0CBB">
        <w:trPr>
          <w:trHeight w:val="454"/>
        </w:trPr>
        <w:tc>
          <w:tcPr>
            <w:tcW w:w="704" w:type="dxa"/>
            <w:shd w:val="clear" w:color="auto" w:fill="auto"/>
            <w:tcMar>
              <w:top w:w="0" w:type="dxa"/>
              <w:left w:w="100" w:type="dxa"/>
              <w:bottom w:w="0" w:type="dxa"/>
              <w:right w:w="100" w:type="dxa"/>
            </w:tcMar>
          </w:tcPr>
          <w:p w14:paraId="55D0E00B" w14:textId="77777777" w:rsidR="009210B5" w:rsidRPr="00D10D61" w:rsidRDefault="009210B5" w:rsidP="00CD3980">
            <w:pPr>
              <w:widowControl w:val="0"/>
              <w:numPr>
                <w:ilvl w:val="0"/>
                <w:numId w:val="17"/>
              </w:numPr>
              <w:pBdr>
                <w:top w:val="nil"/>
                <w:left w:val="nil"/>
                <w:bottom w:val="nil"/>
                <w:right w:val="nil"/>
                <w:between w:val="nil"/>
              </w:pBdr>
              <w:spacing w:before="60" w:after="60" w:line="300" w:lineRule="exact"/>
              <w:ind w:left="0" w:firstLine="0"/>
              <w:jc w:val="center"/>
              <w:rPr>
                <w:rFonts w:ascii="Times New Roman" w:hAnsi="Times New Roman" w:cs="Times New Roman"/>
                <w:sz w:val="26"/>
                <w:szCs w:val="26"/>
              </w:rPr>
            </w:pPr>
          </w:p>
        </w:tc>
        <w:tc>
          <w:tcPr>
            <w:tcW w:w="1843" w:type="dxa"/>
          </w:tcPr>
          <w:p w14:paraId="48BA63D5" w14:textId="7D8B62EB" w:rsidR="009210B5" w:rsidRDefault="009210B5" w:rsidP="00CD3980">
            <w:pPr>
              <w:widowControl w:val="0"/>
              <w:spacing w:before="60" w:after="60" w:line="300" w:lineRule="exact"/>
              <w:jc w:val="both"/>
              <w:rPr>
                <w:rFonts w:ascii="Times New Roman" w:hAnsi="Times New Roman" w:cs="Times New Roman"/>
                <w:sz w:val="26"/>
                <w:szCs w:val="26"/>
                <w:lang w:val="en-US"/>
              </w:rPr>
            </w:pPr>
            <w:r>
              <w:rPr>
                <w:rFonts w:ascii="Times New Roman" w:hAnsi="Times New Roman" w:cs="Times New Roman"/>
                <w:sz w:val="26"/>
                <w:szCs w:val="26"/>
                <w:lang w:val="en-US"/>
              </w:rPr>
              <w:t>Ý kiến góp ý chung</w:t>
            </w:r>
          </w:p>
          <w:p w14:paraId="492FF5DD" w14:textId="442FED50" w:rsidR="009210B5" w:rsidRDefault="009210B5" w:rsidP="009210B5">
            <w:pPr>
              <w:widowControl w:val="0"/>
              <w:spacing w:before="60" w:after="60" w:line="300" w:lineRule="exact"/>
              <w:jc w:val="both"/>
              <w:rPr>
                <w:rFonts w:ascii="Times New Roman" w:hAnsi="Times New Roman" w:cs="Times New Roman"/>
                <w:sz w:val="26"/>
                <w:szCs w:val="26"/>
                <w:lang w:val="en-US"/>
              </w:rPr>
            </w:pPr>
          </w:p>
        </w:tc>
        <w:tc>
          <w:tcPr>
            <w:tcW w:w="1984" w:type="dxa"/>
            <w:shd w:val="clear" w:color="auto" w:fill="auto"/>
            <w:tcMar>
              <w:top w:w="0" w:type="dxa"/>
              <w:left w:w="100" w:type="dxa"/>
              <w:bottom w:w="0" w:type="dxa"/>
              <w:right w:w="100" w:type="dxa"/>
            </w:tcMar>
          </w:tcPr>
          <w:p w14:paraId="4FF80064" w14:textId="2012E399" w:rsidR="009210B5" w:rsidRPr="005C45AE" w:rsidRDefault="009210B5">
            <w:pPr>
              <w:widowControl w:val="0"/>
              <w:spacing w:before="60" w:after="60" w:line="300" w:lineRule="exact"/>
              <w:jc w:val="center"/>
              <w:rPr>
                <w:rFonts w:ascii="Times New Roman" w:hAnsi="Times New Roman" w:cs="Times New Roman"/>
                <w:sz w:val="26"/>
                <w:szCs w:val="26"/>
                <w:lang w:val="en-US"/>
              </w:rPr>
            </w:pPr>
            <w:r>
              <w:rPr>
                <w:rFonts w:ascii="Times New Roman" w:hAnsi="Times New Roman" w:cs="Times New Roman"/>
                <w:sz w:val="26"/>
                <w:szCs w:val="26"/>
                <w:lang w:val="en-US"/>
              </w:rPr>
              <w:t>Bộ Tư pháp</w:t>
            </w:r>
          </w:p>
        </w:tc>
        <w:tc>
          <w:tcPr>
            <w:tcW w:w="5954" w:type="dxa"/>
            <w:shd w:val="clear" w:color="auto" w:fill="auto"/>
            <w:tcMar>
              <w:top w:w="0" w:type="dxa"/>
              <w:left w:w="100" w:type="dxa"/>
              <w:bottom w:w="0" w:type="dxa"/>
              <w:right w:w="100" w:type="dxa"/>
            </w:tcMar>
          </w:tcPr>
          <w:p w14:paraId="446C3FD5" w14:textId="77777777" w:rsidR="009210B5" w:rsidRPr="009210B5" w:rsidRDefault="009210B5" w:rsidP="009210B5">
            <w:pPr>
              <w:spacing w:before="120" w:line="264" w:lineRule="auto"/>
              <w:jc w:val="both"/>
              <w:rPr>
                <w:rFonts w:ascii="Times New Roman" w:eastAsia="Times New Roman" w:hAnsi="Times New Roman" w:cs="Times New Roman"/>
                <w:bCs/>
                <w:iCs/>
                <w:sz w:val="26"/>
                <w:szCs w:val="26"/>
                <w:lang w:val="nl-NL"/>
              </w:rPr>
            </w:pPr>
            <w:r w:rsidRPr="009210B5">
              <w:rPr>
                <w:rFonts w:ascii="Times New Roman" w:eastAsia="Times New Roman" w:hAnsi="Times New Roman" w:cs="Times New Roman"/>
                <w:bCs/>
                <w:iCs/>
                <w:sz w:val="26"/>
                <w:szCs w:val="26"/>
                <w:lang w:val="nl-NL"/>
              </w:rPr>
              <w:t>Đề nghị cơ quan chủ trì soạn thảo phối hợp với các bộ, ngành, địa phương, các doanh nghiệp, chuyên gia, người làm thực tiễn tiếp tục nghiên cứu, rà soát dự thảo Nghị định với Luật Điện lực năm 2024, Luật Giá năm 2023 và các văn bản quy phạm pháp luật liên quan để đảm bảo tính hợp pháp, tính thống nhất đồng bộ và tính khả thi của văn bản, trong đó nghiên cứu, chỉnh lý một số nội dung sau:</w:t>
            </w:r>
          </w:p>
          <w:p w14:paraId="07D99EDB" w14:textId="77777777" w:rsidR="009210B5" w:rsidRPr="009210B5" w:rsidRDefault="009210B5" w:rsidP="009210B5">
            <w:pPr>
              <w:tabs>
                <w:tab w:val="left" w:pos="7797"/>
              </w:tabs>
              <w:spacing w:before="120" w:line="264" w:lineRule="auto"/>
              <w:jc w:val="both"/>
              <w:rPr>
                <w:rFonts w:ascii="Times New Roman" w:eastAsia="Times New Roman" w:hAnsi="Times New Roman" w:cs="Times New Roman"/>
                <w:sz w:val="26"/>
                <w:szCs w:val="26"/>
                <w:lang w:val="nl-NL"/>
              </w:rPr>
            </w:pPr>
            <w:r w:rsidRPr="00425327">
              <w:rPr>
                <w:rFonts w:ascii="Times New Roman" w:eastAsia="Times New Roman" w:hAnsi="Times New Roman" w:cs="Times New Roman"/>
                <w:sz w:val="26"/>
                <w:szCs w:val="26"/>
                <w:lang w:val="nl-NL"/>
              </w:rPr>
              <w:lastRenderedPageBreak/>
              <w:t>a)</w:t>
            </w:r>
            <w:r w:rsidRPr="009210B5">
              <w:rPr>
                <w:rFonts w:ascii="Times New Roman" w:eastAsia="Times New Roman" w:hAnsi="Times New Roman" w:cs="Times New Roman"/>
                <w:sz w:val="26"/>
                <w:szCs w:val="26"/>
                <w:lang w:val="nl-NL"/>
              </w:rPr>
              <w:t xml:space="preserve"> Về cơ bản, dự thảo Quyết định kế thừa nội dung quy định của Quyết định số 02/2023/QĐ-TTg ngày 03/02/2023 của Thủ tướng Chính phủ về khung giá của mức giá bán lẻ điện bình quân, trong đó, giữ nguyên khung giá của mức giá bán lẻ điện bình quân quy định tại Điều 2 Quyết định số 02/2023/QĐ-TTg. Tuy nhiên, đề nghị cơ quan chủ trì soạn thảo làm rõ việc ra quyết định điều chỉnh khung giá của mức giá bán lẻ bình quân của Thủ tướng Chính phủ (khoản 3 Điều 3 dự thảo Quyết định) là ban hành quyết định hành chính hay phải sửa đổi, bổ sung Điều 2 dự thảo Quyết định của Quyết định này theo trình tự, thủ tục ban hành văn bản quy phạm pháp luật? </w:t>
            </w:r>
          </w:p>
          <w:p w14:paraId="42AFEE2E" w14:textId="77777777" w:rsidR="009210B5" w:rsidRPr="009210B5" w:rsidRDefault="009210B5" w:rsidP="009210B5">
            <w:pPr>
              <w:tabs>
                <w:tab w:val="left" w:pos="7797"/>
              </w:tabs>
              <w:spacing w:before="120" w:line="264" w:lineRule="auto"/>
              <w:jc w:val="both"/>
              <w:rPr>
                <w:rFonts w:ascii="Times New Roman" w:eastAsia="Times New Roman" w:hAnsi="Times New Roman" w:cs="Times New Roman"/>
                <w:sz w:val="26"/>
                <w:szCs w:val="26"/>
                <w:lang w:val="nl-NL"/>
              </w:rPr>
            </w:pPr>
            <w:r w:rsidRPr="00425327">
              <w:rPr>
                <w:rFonts w:ascii="Times New Roman" w:eastAsia="Times New Roman" w:hAnsi="Times New Roman" w:cs="Times New Roman"/>
                <w:sz w:val="26"/>
                <w:szCs w:val="26"/>
                <w:lang w:val="nl-NL"/>
              </w:rPr>
              <w:t>b)</w:t>
            </w:r>
            <w:r w:rsidRPr="009210B5">
              <w:rPr>
                <w:rFonts w:ascii="Times New Roman" w:eastAsia="Times New Roman" w:hAnsi="Times New Roman" w:cs="Times New Roman"/>
                <w:sz w:val="26"/>
                <w:szCs w:val="26"/>
                <w:lang w:val="nl-NL"/>
              </w:rPr>
              <w:t xml:space="preserve"> Rà soát, đánh giá vướng mắc, bất cập trong thời gian qua để quy định hợp lý, khả thi, đúng thẩm quyền của Thủ tướng Chính phủ.</w:t>
            </w:r>
          </w:p>
          <w:p w14:paraId="7833E5C0" w14:textId="72514482" w:rsidR="009210B5" w:rsidRPr="009210B5" w:rsidRDefault="009210B5" w:rsidP="009210B5">
            <w:pPr>
              <w:widowControl w:val="0"/>
              <w:spacing w:before="60" w:after="60" w:line="300" w:lineRule="exact"/>
              <w:jc w:val="both"/>
              <w:rPr>
                <w:rFonts w:ascii="Times New Roman" w:hAnsi="Times New Roman" w:cs="Times New Roman"/>
                <w:sz w:val="26"/>
                <w:szCs w:val="26"/>
                <w:lang w:val="en-US"/>
              </w:rPr>
            </w:pPr>
            <w:r w:rsidRPr="00425327">
              <w:rPr>
                <w:rFonts w:ascii="Times New Roman" w:eastAsia="Times New Roman" w:hAnsi="Times New Roman" w:cs="Times New Roman"/>
                <w:sz w:val="26"/>
                <w:szCs w:val="26"/>
                <w:lang w:val="nl-NL"/>
              </w:rPr>
              <w:t>c)</w:t>
            </w:r>
            <w:r w:rsidRPr="009210B5">
              <w:rPr>
                <w:rFonts w:ascii="Times New Roman" w:eastAsia="Times New Roman" w:hAnsi="Times New Roman" w:cs="Times New Roman"/>
                <w:sz w:val="26"/>
                <w:szCs w:val="26"/>
                <w:lang w:val="nl-NL"/>
              </w:rPr>
              <w:t xml:space="preserve"> Bên cạnh đó, đề nghị cơ quan chủ trì soạn thảo rà soát toàn bộ dự thảo Quyết định, đảm bảo tuân thủ đúng và đầy đủ: </w:t>
            </w:r>
            <w:r w:rsidRPr="00425327">
              <w:rPr>
                <w:rFonts w:ascii="Times New Roman" w:eastAsia="Times New Roman" w:hAnsi="Times New Roman" w:cs="Times New Roman"/>
                <w:sz w:val="26"/>
                <w:szCs w:val="26"/>
                <w:lang w:val="nl-NL"/>
              </w:rPr>
              <w:t>(i) Quy định số 178-QĐ/TW ngày 27/6/2024 của Bộ Chính trị quy định về kiểm soát quyền lực, phòng, chống tham nhũng tiêu cực trong công tác xây dựng pháp luật; (ii) Thông báo số 108/TB-VPTW ngày 18/11/2024 của Văn phòng Trung ương Đảng về kết luận của Đồng chí Tổng Bí thư Tô Lâm tại buổi làm việc với Ban cán sự đảng Bộ Tư pháp về đổi mới tư duy trong xây dựng pháp luật; (iii) N</w:t>
            </w:r>
            <w:r w:rsidRPr="009210B5">
              <w:rPr>
                <w:rFonts w:ascii="Times New Roman" w:eastAsia="Times New Roman" w:hAnsi="Times New Roman" w:cs="Times New Roman"/>
                <w:sz w:val="26"/>
                <w:szCs w:val="26"/>
                <w:lang w:val="nl-NL"/>
              </w:rPr>
              <w:t xml:space="preserve">ghị quyết số </w:t>
            </w:r>
            <w:r w:rsidRPr="009210B5">
              <w:rPr>
                <w:rFonts w:ascii="Times New Roman" w:eastAsia="Times New Roman" w:hAnsi="Times New Roman" w:cs="Times New Roman"/>
                <w:sz w:val="26"/>
                <w:szCs w:val="26"/>
                <w:lang w:val="nl-NL"/>
              </w:rPr>
              <w:lastRenderedPageBreak/>
              <w:t xml:space="preserve">110/2023/QH15 ngày 29/11/2023 của Quốc hội về kỳ họp thứ 6 Quốc hội khóa XV (yêu cầu: </w:t>
            </w:r>
            <w:r w:rsidRPr="009210B5">
              <w:rPr>
                <w:rFonts w:ascii="Times New Roman" w:eastAsia="Times New Roman" w:hAnsi="Times New Roman" w:cs="Times New Roman"/>
                <w:i/>
                <w:sz w:val="26"/>
                <w:szCs w:val="26"/>
                <w:lang w:val="nl-NL"/>
              </w:rPr>
              <w:t>“ngăn chặn kịp thời và xử lý nghiêm các hành vi tham nhũng, tiêu cực, “lợi ích nhóm”, “lợi ích cục bộ” trong công tác xây dựng và tổ chức thi hành pháp luật”</w:t>
            </w:r>
            <w:r w:rsidRPr="009210B5">
              <w:rPr>
                <w:rFonts w:ascii="Times New Roman" w:eastAsia="Times New Roman" w:hAnsi="Times New Roman" w:cs="Times New Roman"/>
                <w:sz w:val="26"/>
                <w:szCs w:val="26"/>
                <w:lang w:val="nl-NL"/>
              </w:rPr>
              <w:t xml:space="preserve"> - Mục 3); </w:t>
            </w:r>
            <w:r w:rsidRPr="00425327">
              <w:rPr>
                <w:rFonts w:ascii="Times New Roman" w:eastAsia="Times New Roman" w:hAnsi="Times New Roman" w:cs="Times New Roman"/>
                <w:sz w:val="26"/>
                <w:szCs w:val="26"/>
                <w:lang w:val="nl-NL"/>
              </w:rPr>
              <w:t>(iv)</w:t>
            </w:r>
            <w:r w:rsidRPr="009210B5">
              <w:rPr>
                <w:rFonts w:ascii="Times New Roman" w:eastAsia="Times New Roman" w:hAnsi="Times New Roman" w:cs="Times New Roman"/>
                <w:sz w:val="26"/>
                <w:szCs w:val="26"/>
                <w:lang w:val="nl-NL"/>
              </w:rPr>
              <w:t xml:space="preserve"> Nghị quyết số 158/2024/QH15 ngày 12/11/2024 của Quốc hội về kế hoạch phát triển kinh tế-xã hội năm 2025 (về </w:t>
            </w:r>
            <w:r w:rsidRPr="009210B5">
              <w:rPr>
                <w:rFonts w:ascii="Times New Roman" w:eastAsia="Times New Roman" w:hAnsi="Times New Roman" w:cs="Times New Roman"/>
                <w:i/>
                <w:sz w:val="26"/>
                <w:szCs w:val="26"/>
                <w:lang w:val="nl-NL"/>
              </w:rPr>
              <w:t>“có giải pháp mạnh mẽ, quyết liệt để tháo gỡ thể chế, khắc phục điểm nghẽn; đẩy mạnh hơn nữa việc rà soát, bổ sung, hoàn thiện thể chế, pháp luật, cơ chế, chính sách gắn với nâng cao hiệu lực, hiệu quả tổ chức thực hiện pháp luật; tập trung cắt giảm, đơn giản hoá thủ tục hành chính, quy định kinh doanh, tạo thuận lợi, tiết giảm chi phí cho người dân, doanh nghiệp”</w:t>
            </w:r>
            <w:r w:rsidRPr="009210B5">
              <w:rPr>
                <w:rFonts w:ascii="Times New Roman" w:eastAsia="Times New Roman" w:hAnsi="Times New Roman" w:cs="Times New Roman"/>
                <w:sz w:val="26"/>
                <w:szCs w:val="26"/>
                <w:lang w:val="nl-NL"/>
              </w:rPr>
              <w:t xml:space="preserve"> và </w:t>
            </w:r>
            <w:r w:rsidRPr="009210B5">
              <w:rPr>
                <w:rFonts w:ascii="Times New Roman" w:eastAsia="Times New Roman" w:hAnsi="Times New Roman" w:cs="Times New Roman"/>
                <w:i/>
                <w:sz w:val="26"/>
                <w:szCs w:val="26"/>
                <w:lang w:val="nl-NL"/>
              </w:rPr>
              <w:t xml:space="preserve">“đổi mới tư duy trong xây dựng pháp luật theo hướng vừa bảo đảm yêu cầu quản lý nhà nước vừa khuyến khích sáng tạo, giải phóng toàn bộ sức sản xuất, khơi thông mọi nguồn lực” </w:t>
            </w:r>
            <w:r w:rsidRPr="009210B5">
              <w:rPr>
                <w:rFonts w:ascii="Times New Roman" w:eastAsia="Times New Roman" w:hAnsi="Times New Roman" w:cs="Times New Roman"/>
                <w:sz w:val="26"/>
                <w:szCs w:val="26"/>
                <w:lang w:val="nl-NL"/>
              </w:rPr>
              <w:t xml:space="preserve">- điểm 3.1 Điều 3); </w:t>
            </w:r>
            <w:r w:rsidRPr="00425327">
              <w:rPr>
                <w:rFonts w:ascii="Times New Roman" w:eastAsia="Times New Roman" w:hAnsi="Times New Roman" w:cs="Times New Roman"/>
                <w:sz w:val="26"/>
                <w:szCs w:val="26"/>
                <w:lang w:val="nl-NL"/>
              </w:rPr>
              <w:t>(v)</w:t>
            </w:r>
            <w:r w:rsidRPr="009210B5">
              <w:rPr>
                <w:rFonts w:ascii="Times New Roman" w:eastAsia="Times New Roman" w:hAnsi="Times New Roman" w:cs="Times New Roman"/>
                <w:sz w:val="26"/>
                <w:szCs w:val="26"/>
                <w:lang w:val="nl-NL"/>
              </w:rPr>
              <w:t xml:space="preserve"> Nghị quyết số 126/NQ-CP ngày 14/8/2023 của Chính phủ về một số giải pháp nâng cao chất lượng công tác xây dựng, hoàn thiện hệ thống pháp luật và tổ chức thi hành pháp luật nhằm ngăn ngừa tình trạng tham nhũng, lợi ích nhóm, lợi ích cục bộ.</w:t>
            </w:r>
          </w:p>
        </w:tc>
        <w:tc>
          <w:tcPr>
            <w:tcW w:w="4394" w:type="dxa"/>
            <w:shd w:val="clear" w:color="auto" w:fill="auto"/>
            <w:tcMar>
              <w:top w:w="0" w:type="dxa"/>
              <w:left w:w="100" w:type="dxa"/>
              <w:bottom w:w="0" w:type="dxa"/>
              <w:right w:w="100" w:type="dxa"/>
            </w:tcMar>
          </w:tcPr>
          <w:p w14:paraId="33A2FAAF" w14:textId="77777777" w:rsidR="009210B5" w:rsidRDefault="00CC2659" w:rsidP="00CC2659">
            <w:pPr>
              <w:widowControl w:val="0"/>
              <w:spacing w:before="60" w:after="60" w:line="300" w:lineRule="exact"/>
              <w:jc w:val="both"/>
              <w:rPr>
                <w:rFonts w:ascii="Times New Roman" w:hAnsi="Times New Roman" w:cs="Times New Roman"/>
                <w:sz w:val="26"/>
                <w:szCs w:val="26"/>
                <w:lang w:val="en-US"/>
              </w:rPr>
            </w:pPr>
            <w:r>
              <w:rPr>
                <w:rFonts w:ascii="Times New Roman" w:hAnsi="Times New Roman" w:cs="Times New Roman"/>
                <w:sz w:val="26"/>
                <w:szCs w:val="26"/>
                <w:lang w:val="en-US"/>
              </w:rPr>
              <w:lastRenderedPageBreak/>
              <w:t xml:space="preserve">- </w:t>
            </w:r>
            <w:r w:rsidR="009210B5" w:rsidRPr="009210B5">
              <w:rPr>
                <w:rFonts w:ascii="Times New Roman" w:hAnsi="Times New Roman" w:cs="Times New Roman"/>
                <w:sz w:val="26"/>
                <w:szCs w:val="26"/>
                <w:lang w:val="en-US"/>
              </w:rPr>
              <w:t>Bộ Công Thương tiếp thu và đã rà soát Dự thảo Quyết định, đảm bảo</w:t>
            </w:r>
            <w:r w:rsidR="00685BAA">
              <w:rPr>
                <w:rFonts w:ascii="Times New Roman" w:hAnsi="Times New Roman" w:cs="Times New Roman"/>
                <w:sz w:val="26"/>
                <w:szCs w:val="26"/>
                <w:lang w:val="en-US"/>
              </w:rPr>
              <w:t xml:space="preserve"> các quy định tại Dự thảo Quyết định là phù hợp với quy định tại </w:t>
            </w:r>
            <w:r w:rsidR="00685BAA" w:rsidRPr="009210B5">
              <w:rPr>
                <w:rFonts w:ascii="Times New Roman" w:eastAsia="Times New Roman" w:hAnsi="Times New Roman" w:cs="Times New Roman"/>
                <w:bCs/>
                <w:iCs/>
                <w:sz w:val="26"/>
                <w:szCs w:val="26"/>
                <w:lang w:val="nl-NL"/>
              </w:rPr>
              <w:t>Luật Điện lực năm 2024, Luật Giá năm 2023 và các văn bản quy phạm pháp luật liên quan</w:t>
            </w:r>
            <w:r w:rsidR="00685BAA">
              <w:rPr>
                <w:rFonts w:ascii="Times New Roman" w:eastAsia="Times New Roman" w:hAnsi="Times New Roman" w:cs="Times New Roman"/>
                <w:bCs/>
                <w:iCs/>
                <w:sz w:val="26"/>
                <w:szCs w:val="26"/>
                <w:lang w:val="nl-NL"/>
              </w:rPr>
              <w:t>; đồng thời Dự thảo Quyết định</w:t>
            </w:r>
            <w:r w:rsidR="009210B5" w:rsidRPr="009210B5">
              <w:rPr>
                <w:rFonts w:ascii="Times New Roman" w:hAnsi="Times New Roman" w:cs="Times New Roman"/>
                <w:sz w:val="26"/>
                <w:szCs w:val="26"/>
                <w:lang w:val="en-US"/>
              </w:rPr>
              <w:t xml:space="preserve"> không vi phạm các nội dung Bộ Tư pháp đã nêu</w:t>
            </w:r>
            <w:r w:rsidR="00685BAA">
              <w:rPr>
                <w:rFonts w:ascii="Times New Roman" w:hAnsi="Times New Roman" w:cs="Times New Roman"/>
                <w:sz w:val="26"/>
                <w:szCs w:val="26"/>
                <w:lang w:val="en-US"/>
              </w:rPr>
              <w:t>.</w:t>
            </w:r>
          </w:p>
          <w:p w14:paraId="641092DD" w14:textId="77777777" w:rsidR="00CC2659" w:rsidRDefault="00CC2659" w:rsidP="00CC2659">
            <w:pPr>
              <w:widowControl w:val="0"/>
              <w:spacing w:before="60" w:after="60" w:line="300" w:lineRule="exact"/>
              <w:jc w:val="both"/>
              <w:rPr>
                <w:rFonts w:ascii="Times New Roman" w:hAnsi="Times New Roman" w:cs="Times New Roman"/>
                <w:sz w:val="26"/>
                <w:szCs w:val="26"/>
                <w:lang w:val="en-US"/>
              </w:rPr>
            </w:pPr>
          </w:p>
          <w:p w14:paraId="397A08A0" w14:textId="77777777" w:rsidR="00196E0E" w:rsidRDefault="00196E0E" w:rsidP="00CC2659">
            <w:pPr>
              <w:widowControl w:val="0"/>
              <w:spacing w:before="60" w:after="60" w:line="300" w:lineRule="exact"/>
              <w:jc w:val="both"/>
              <w:rPr>
                <w:rFonts w:ascii="Times New Roman" w:hAnsi="Times New Roman" w:cs="Times New Roman"/>
                <w:sz w:val="26"/>
                <w:szCs w:val="26"/>
                <w:lang w:val="en-US"/>
              </w:rPr>
            </w:pPr>
          </w:p>
          <w:p w14:paraId="7A01E664" w14:textId="4CE2F266" w:rsidR="00CC2659" w:rsidRPr="005C45AE" w:rsidRDefault="00CC2659" w:rsidP="00CC2659">
            <w:pPr>
              <w:widowControl w:val="0"/>
              <w:spacing w:before="60" w:after="60" w:line="300" w:lineRule="exact"/>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E44AC4">
              <w:rPr>
                <w:rFonts w:ascii="Times New Roman" w:hAnsi="Times New Roman" w:cs="Times New Roman"/>
                <w:sz w:val="26"/>
                <w:szCs w:val="26"/>
                <w:lang w:val="en-US"/>
              </w:rPr>
              <w:t xml:space="preserve">Về việc </w:t>
            </w:r>
            <w:r w:rsidR="00E44AC4" w:rsidRPr="009210B5">
              <w:rPr>
                <w:rFonts w:ascii="Times New Roman" w:eastAsia="Times New Roman" w:hAnsi="Times New Roman" w:cs="Times New Roman"/>
                <w:sz w:val="26"/>
                <w:szCs w:val="26"/>
                <w:lang w:val="nl-NL"/>
              </w:rPr>
              <w:t>điều chỉnh khung giá của mức giá bán lẻ bình quân của Thủ tướng Chính phủ</w:t>
            </w:r>
            <w:r w:rsidR="00E44AC4">
              <w:rPr>
                <w:rFonts w:ascii="Times New Roman" w:eastAsia="Times New Roman" w:hAnsi="Times New Roman" w:cs="Times New Roman"/>
                <w:sz w:val="26"/>
                <w:szCs w:val="26"/>
                <w:lang w:val="nl-NL"/>
              </w:rPr>
              <w:t xml:space="preserve"> quy định tại khoản 3 Điều 3 dự thảo Quyết định: Khi nhận được báo cáo của Tập đoàn Điện lực Việt Nam</w:t>
            </w:r>
            <w:r w:rsidR="000E174E">
              <w:rPr>
                <w:rFonts w:ascii="Times New Roman" w:eastAsia="Times New Roman" w:hAnsi="Times New Roman" w:cs="Times New Roman"/>
                <w:sz w:val="26"/>
                <w:szCs w:val="26"/>
                <w:lang w:val="nl-NL"/>
              </w:rPr>
              <w:t xml:space="preserve"> điều chỉnh khung giá, Bộ Công Thương sẽ rà soát, kiểm tra và xây dựng khung giá, trình Thủ tướng Chính phủ xem xét để sửa đổi dự thảo Quyết định theo trình tự, thủ tục ban hành văn bản quy phạm pháp luật theo quy định.</w:t>
            </w:r>
          </w:p>
        </w:tc>
      </w:tr>
      <w:tr w:rsidR="00685BAA" w:rsidRPr="00FE0F93" w14:paraId="4F67FA63" w14:textId="77777777" w:rsidTr="00DC0CBB">
        <w:trPr>
          <w:trHeight w:val="454"/>
        </w:trPr>
        <w:tc>
          <w:tcPr>
            <w:tcW w:w="704" w:type="dxa"/>
            <w:shd w:val="clear" w:color="auto" w:fill="auto"/>
            <w:tcMar>
              <w:top w:w="0" w:type="dxa"/>
              <w:left w:w="100" w:type="dxa"/>
              <w:bottom w:w="0" w:type="dxa"/>
              <w:right w:w="100" w:type="dxa"/>
            </w:tcMar>
          </w:tcPr>
          <w:p w14:paraId="5FE25FF4" w14:textId="77777777" w:rsidR="00685BAA" w:rsidRPr="00D10D61" w:rsidRDefault="00685BAA" w:rsidP="00CD3980">
            <w:pPr>
              <w:widowControl w:val="0"/>
              <w:numPr>
                <w:ilvl w:val="0"/>
                <w:numId w:val="17"/>
              </w:numPr>
              <w:pBdr>
                <w:top w:val="nil"/>
                <w:left w:val="nil"/>
                <w:bottom w:val="nil"/>
                <w:right w:val="nil"/>
                <w:between w:val="nil"/>
              </w:pBdr>
              <w:spacing w:before="60" w:after="60" w:line="300" w:lineRule="exact"/>
              <w:ind w:left="0" w:firstLine="0"/>
              <w:jc w:val="center"/>
              <w:rPr>
                <w:rFonts w:ascii="Times New Roman" w:hAnsi="Times New Roman" w:cs="Times New Roman"/>
                <w:sz w:val="26"/>
                <w:szCs w:val="26"/>
              </w:rPr>
            </w:pPr>
          </w:p>
        </w:tc>
        <w:tc>
          <w:tcPr>
            <w:tcW w:w="1843" w:type="dxa"/>
          </w:tcPr>
          <w:p w14:paraId="0A87EEC2" w14:textId="0F85EF0B" w:rsidR="00685BAA" w:rsidRDefault="00196E0E" w:rsidP="00196E0E">
            <w:pPr>
              <w:widowControl w:val="0"/>
              <w:spacing w:before="60" w:after="60" w:line="300" w:lineRule="exact"/>
              <w:jc w:val="both"/>
              <w:rPr>
                <w:rFonts w:ascii="Times New Roman" w:hAnsi="Times New Roman" w:cs="Times New Roman"/>
                <w:sz w:val="26"/>
                <w:szCs w:val="26"/>
                <w:lang w:val="en-US"/>
              </w:rPr>
            </w:pPr>
            <w:r>
              <w:rPr>
                <w:rFonts w:ascii="Times New Roman" w:hAnsi="Times New Roman" w:cs="Times New Roman"/>
                <w:sz w:val="26"/>
                <w:szCs w:val="26"/>
                <w:lang w:val="en-US"/>
              </w:rPr>
              <w:t>Góp ý về t</w:t>
            </w:r>
            <w:r w:rsidR="00685BAA" w:rsidRPr="00685BAA">
              <w:rPr>
                <w:rFonts w:ascii="Times New Roman" w:hAnsi="Times New Roman" w:cs="Times New Roman"/>
                <w:sz w:val="26"/>
                <w:szCs w:val="26"/>
                <w:lang w:val="en-US"/>
              </w:rPr>
              <w:t>rình tự, thủ tục và kỹ thuật soạn thảo văn bản</w:t>
            </w:r>
          </w:p>
        </w:tc>
        <w:tc>
          <w:tcPr>
            <w:tcW w:w="1984" w:type="dxa"/>
            <w:shd w:val="clear" w:color="auto" w:fill="auto"/>
            <w:tcMar>
              <w:top w:w="0" w:type="dxa"/>
              <w:left w:w="100" w:type="dxa"/>
              <w:bottom w:w="0" w:type="dxa"/>
              <w:right w:w="100" w:type="dxa"/>
            </w:tcMar>
          </w:tcPr>
          <w:p w14:paraId="1BDF3729" w14:textId="1C33DF45" w:rsidR="00685BAA" w:rsidRPr="005C45AE" w:rsidRDefault="00685BAA">
            <w:pPr>
              <w:widowControl w:val="0"/>
              <w:spacing w:before="60" w:after="60" w:line="300" w:lineRule="exact"/>
              <w:jc w:val="center"/>
              <w:rPr>
                <w:rFonts w:ascii="Times New Roman" w:hAnsi="Times New Roman" w:cs="Times New Roman"/>
                <w:sz w:val="26"/>
                <w:szCs w:val="26"/>
                <w:lang w:val="en-US"/>
              </w:rPr>
            </w:pPr>
            <w:r>
              <w:rPr>
                <w:rFonts w:ascii="Times New Roman" w:hAnsi="Times New Roman" w:cs="Times New Roman"/>
                <w:sz w:val="26"/>
                <w:szCs w:val="26"/>
                <w:lang w:val="en-US"/>
              </w:rPr>
              <w:t>Bộ Tư pháp</w:t>
            </w:r>
          </w:p>
        </w:tc>
        <w:tc>
          <w:tcPr>
            <w:tcW w:w="5954" w:type="dxa"/>
            <w:shd w:val="clear" w:color="auto" w:fill="auto"/>
            <w:tcMar>
              <w:top w:w="0" w:type="dxa"/>
              <w:left w:w="100" w:type="dxa"/>
              <w:bottom w:w="0" w:type="dxa"/>
              <w:right w:w="100" w:type="dxa"/>
            </w:tcMar>
          </w:tcPr>
          <w:p w14:paraId="0CDB4BA2" w14:textId="77777777" w:rsidR="00685BAA" w:rsidRDefault="00685BAA" w:rsidP="005C45AE">
            <w:pPr>
              <w:widowControl w:val="0"/>
              <w:spacing w:before="60" w:after="60" w:line="300" w:lineRule="exact"/>
              <w:jc w:val="both"/>
              <w:rPr>
                <w:rFonts w:ascii="Times New Roman" w:hAnsi="Times New Roman" w:cs="Times New Roman"/>
                <w:sz w:val="26"/>
                <w:szCs w:val="26"/>
                <w:lang w:val="en-US"/>
              </w:rPr>
            </w:pPr>
            <w:r>
              <w:rPr>
                <w:rFonts w:ascii="Times New Roman" w:hAnsi="Times New Roman" w:cs="Times New Roman"/>
                <w:sz w:val="26"/>
                <w:szCs w:val="26"/>
                <w:lang w:val="en-US"/>
              </w:rPr>
              <w:t>- Đ</w:t>
            </w:r>
            <w:r w:rsidRPr="00685BAA">
              <w:rPr>
                <w:rFonts w:ascii="Times New Roman" w:hAnsi="Times New Roman" w:cs="Times New Roman"/>
                <w:sz w:val="26"/>
                <w:szCs w:val="26"/>
                <w:lang w:val="en-US"/>
              </w:rPr>
              <w:t xml:space="preserve">ề nghị cơ quan chủ trì soạn thảo tuân thủ đúng thủ tục, trình tự soạn thảo văn bản theo quy định của Luật Ban hành văn bản quy phạm pháp luật năm 2015 (sửa đổi, bổ sung năm 2020) và Nghị định số 34/2016/NĐ-CP ngày 14/5/2016 của Chính phủ quy định chi tiết một </w:t>
            </w:r>
            <w:r w:rsidRPr="00685BAA">
              <w:rPr>
                <w:rFonts w:ascii="Times New Roman" w:hAnsi="Times New Roman" w:cs="Times New Roman"/>
                <w:sz w:val="26"/>
                <w:szCs w:val="26"/>
                <w:lang w:val="en-US"/>
              </w:rPr>
              <w:lastRenderedPageBreak/>
              <w:t>số điều và biện pháp thi hành Luật Ban hành văn bản quy phạm pháp luật (sửa đổi, bổ sung tại Nghị định số 154/2020/NĐ-CP ngày 31/12/2020 và Nghị định số 59/2024/NĐ-CP ngày 25/5/2024); cần lấy ý kiến rộng rãi đối tượng chịu sự tác động của văn bản, chuyên gia, nhà khoa học và người làm thực tiễn (và phải tiếp thu, giải trình đầy đủ tất cả các ý kiến tham gia) để tiếp tục hoàn thiện dự thảo Quyết định (cũng như các tài liệu kèm theo) và gửi Bộ Tư pháp thẩm định trước khi trình Chính phủ</w:t>
            </w:r>
            <w:r>
              <w:rPr>
                <w:rFonts w:ascii="Times New Roman" w:hAnsi="Times New Roman" w:cs="Times New Roman"/>
                <w:sz w:val="26"/>
                <w:szCs w:val="26"/>
                <w:lang w:val="en-US"/>
              </w:rPr>
              <w:t>.</w:t>
            </w:r>
          </w:p>
          <w:p w14:paraId="12131644" w14:textId="77777777" w:rsidR="00685BAA" w:rsidRDefault="00685BAA" w:rsidP="005C45AE">
            <w:pPr>
              <w:widowControl w:val="0"/>
              <w:spacing w:before="60" w:after="60" w:line="300" w:lineRule="exact"/>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Pr="00685BAA">
              <w:rPr>
                <w:rFonts w:ascii="Times New Roman" w:hAnsi="Times New Roman" w:cs="Times New Roman"/>
                <w:sz w:val="26"/>
                <w:szCs w:val="26"/>
                <w:lang w:val="en-US"/>
              </w:rPr>
              <w:t>Đề nghị cơ quan chủ trì soạn thảo rà soát, chỉnh lý về thể thức, kỹ thuật trình bày văn bản đảm bảo tuân thủ quy định của Điều 8 Luật Ban hành văn bản quy phạm pháp luật năm 2015 (sửa đổi, bổ sung năm 2020) và Chương V (Thể thức và kỹ thuật trình bày văn bản quy phạm pháp luật) Nghị định số 34/2016/NĐ-CP (sửa đổi, bổ sung tại Nghị định số 154/2020/NĐ-CP ngày 31/12/2020 và Nghị định số 59/2024/NĐ-CP ngày 25/5/2024), hoàn thiện hồ sơ dự thảo Quyết định theo quy định tại khoản 2 Điều 98 Luật Ban hành văn bản quy phạm pháp luật 2015 (sửa đổi, bổ sung năm 2020) đảm bảo đúng và đầy đủ về thành phần hồ sơ, nội dung và hình thức của từng thành phần hồ sơ theo quy định của Luật Ban hành văn bản quy phạm pháp luật và khoản 16 Điều 1 Nghị định số 59/2024/NĐ-CP</w:t>
            </w:r>
            <w:r>
              <w:rPr>
                <w:rFonts w:ascii="Times New Roman" w:hAnsi="Times New Roman" w:cs="Times New Roman"/>
                <w:sz w:val="26"/>
                <w:szCs w:val="26"/>
                <w:lang w:val="en-US"/>
              </w:rPr>
              <w:t>.</w:t>
            </w:r>
          </w:p>
          <w:p w14:paraId="5D53D996" w14:textId="0D90FF8A" w:rsidR="00685BAA" w:rsidRPr="005C45AE" w:rsidRDefault="00685BAA" w:rsidP="005C45AE">
            <w:pPr>
              <w:widowControl w:val="0"/>
              <w:spacing w:before="60" w:after="60" w:line="300" w:lineRule="exact"/>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Pr="00685BAA">
              <w:rPr>
                <w:rFonts w:ascii="Times New Roman" w:hAnsi="Times New Roman" w:cs="Times New Roman"/>
                <w:sz w:val="26"/>
                <w:szCs w:val="26"/>
                <w:lang w:val="en-US"/>
              </w:rPr>
              <w:t xml:space="preserve">Theo Quyết định số 1610/QĐ-TTg ngày 19/12/2024 của Thủ tướng Chính phủ ban hành Danh mục và phân công cơ quan chủ trì soạn thảo văn bản quy định chi tiết </w:t>
            </w:r>
            <w:r w:rsidRPr="00685BAA">
              <w:rPr>
                <w:rFonts w:ascii="Times New Roman" w:hAnsi="Times New Roman" w:cs="Times New Roman"/>
                <w:sz w:val="26"/>
                <w:szCs w:val="26"/>
                <w:lang w:val="en-US"/>
              </w:rPr>
              <w:lastRenderedPageBreak/>
              <w:t>thi hành các luật, nghị quyết được Quốc hội khóa XV thông qua tại Kỳ họp 8, dự thảo Quyết định được ban hành theo trình tự, thủ tục rút gọn. Đề nghị cơ quan chủ trì soạn thảo hoàn thiện thành phần hồ sơ gửi Bộ Tư pháp thẩm định dự thảo Quyết định theo quy định tại khoản 3 Điều 148 Luật Ban hành văn bản quy phạm pháp luật, trong đó, cơ quan chủ trì soạn thảo chú ý hoàn thiện Tờ trình (theo Mẫu số 03 Phụ lục III Nghị định số 59/2024/NĐ-CP); Bản tổng hợp, giải trình, tiếp thu ý kiến góp ý của cơ quan, tổ chức, cá nhân (nếu có) (theo Mẫu số 14 Phụ lục I Nghị định số 59/2024/NĐ-CP) đảm bảo đúng và đầy đủ cả về thành phần, nội dung và hình thức các tài liệu (theo quy định tại khoản 16 Điều 1 Nghị định số 59/2024/NĐ-CP) trong hồ sơ gửi Bộ Tư pháp thẩm định</w:t>
            </w:r>
          </w:p>
        </w:tc>
        <w:tc>
          <w:tcPr>
            <w:tcW w:w="4394" w:type="dxa"/>
            <w:shd w:val="clear" w:color="auto" w:fill="auto"/>
            <w:tcMar>
              <w:top w:w="0" w:type="dxa"/>
              <w:left w:w="100" w:type="dxa"/>
              <w:bottom w:w="0" w:type="dxa"/>
              <w:right w:w="100" w:type="dxa"/>
            </w:tcMar>
          </w:tcPr>
          <w:p w14:paraId="74CF4A72" w14:textId="411F0D0C" w:rsidR="00685BAA" w:rsidRPr="005C45AE" w:rsidRDefault="00CC2659" w:rsidP="00CC2659">
            <w:pPr>
              <w:widowControl w:val="0"/>
              <w:spacing w:before="60" w:after="60" w:line="300" w:lineRule="exact"/>
              <w:jc w:val="both"/>
              <w:rPr>
                <w:rFonts w:ascii="Times New Roman" w:hAnsi="Times New Roman" w:cs="Times New Roman"/>
                <w:sz w:val="26"/>
                <w:szCs w:val="26"/>
                <w:lang w:val="en-US"/>
              </w:rPr>
            </w:pPr>
            <w:r>
              <w:rPr>
                <w:rFonts w:ascii="Times New Roman" w:hAnsi="Times New Roman" w:cs="Times New Roman"/>
                <w:sz w:val="26"/>
                <w:szCs w:val="26"/>
                <w:lang w:val="en-US"/>
              </w:rPr>
              <w:lastRenderedPageBreak/>
              <w:t xml:space="preserve">- </w:t>
            </w:r>
            <w:r w:rsidR="00685BAA" w:rsidRPr="00685BAA">
              <w:rPr>
                <w:rFonts w:ascii="Times New Roman" w:hAnsi="Times New Roman" w:cs="Times New Roman"/>
                <w:sz w:val="26"/>
                <w:szCs w:val="26"/>
                <w:lang w:val="en-US"/>
              </w:rPr>
              <w:t xml:space="preserve">Bộ Công Thương tiếp thu ý kiến của Bộ Tư pháp và đã rà soát, chỉnh sửa </w:t>
            </w:r>
            <w:r w:rsidR="00685BAA">
              <w:rPr>
                <w:rFonts w:ascii="Times New Roman" w:hAnsi="Times New Roman" w:cs="Times New Roman"/>
                <w:sz w:val="26"/>
                <w:szCs w:val="26"/>
                <w:lang w:val="en-US"/>
              </w:rPr>
              <w:t>hồ sơ dự thảo Quyết định</w:t>
            </w:r>
            <w:r w:rsidR="00685BAA" w:rsidRPr="00685BAA">
              <w:rPr>
                <w:rFonts w:ascii="Times New Roman" w:hAnsi="Times New Roman" w:cs="Times New Roman"/>
                <w:sz w:val="26"/>
                <w:szCs w:val="26"/>
                <w:lang w:val="en-US"/>
              </w:rPr>
              <w:t xml:space="preserve"> để đảm bảo chuẩn xác về thể thức và kỹ thuật trình bày theo </w:t>
            </w:r>
            <w:r w:rsidR="00685BAA" w:rsidRPr="00685BAA">
              <w:rPr>
                <w:rFonts w:ascii="Times New Roman" w:hAnsi="Times New Roman" w:cs="Times New Roman"/>
                <w:sz w:val="26"/>
                <w:szCs w:val="26"/>
                <w:lang w:val="en-US"/>
              </w:rPr>
              <w:lastRenderedPageBreak/>
              <w:t>quy định hiện hành.</w:t>
            </w:r>
          </w:p>
        </w:tc>
      </w:tr>
      <w:tr w:rsidR="00FE0F93" w:rsidRPr="00FE0F93" w14:paraId="74C44ACE" w14:textId="77777777" w:rsidTr="00DC0CBB">
        <w:trPr>
          <w:trHeight w:val="454"/>
        </w:trPr>
        <w:tc>
          <w:tcPr>
            <w:tcW w:w="704" w:type="dxa"/>
            <w:shd w:val="clear" w:color="auto" w:fill="auto"/>
            <w:tcMar>
              <w:top w:w="0" w:type="dxa"/>
              <w:left w:w="100" w:type="dxa"/>
              <w:bottom w:w="0" w:type="dxa"/>
              <w:right w:w="100" w:type="dxa"/>
            </w:tcMar>
          </w:tcPr>
          <w:p w14:paraId="7AC25CFC" w14:textId="77777777" w:rsidR="00FE0F93" w:rsidRPr="00D10D61" w:rsidRDefault="00FE0F93" w:rsidP="00CD3980">
            <w:pPr>
              <w:widowControl w:val="0"/>
              <w:numPr>
                <w:ilvl w:val="0"/>
                <w:numId w:val="17"/>
              </w:numPr>
              <w:pBdr>
                <w:top w:val="nil"/>
                <w:left w:val="nil"/>
                <w:bottom w:val="nil"/>
                <w:right w:val="nil"/>
                <w:between w:val="nil"/>
              </w:pBdr>
              <w:spacing w:before="60" w:after="60" w:line="300" w:lineRule="exact"/>
              <w:ind w:left="0" w:firstLine="0"/>
              <w:jc w:val="center"/>
              <w:rPr>
                <w:rFonts w:ascii="Times New Roman" w:hAnsi="Times New Roman" w:cs="Times New Roman"/>
                <w:sz w:val="26"/>
                <w:szCs w:val="26"/>
              </w:rPr>
            </w:pPr>
          </w:p>
        </w:tc>
        <w:tc>
          <w:tcPr>
            <w:tcW w:w="1843" w:type="dxa"/>
          </w:tcPr>
          <w:p w14:paraId="0D7636CC" w14:textId="41A7E56F" w:rsidR="00FE0F93" w:rsidRPr="00D10D61" w:rsidRDefault="004211DA" w:rsidP="00CD3980">
            <w:pPr>
              <w:widowControl w:val="0"/>
              <w:spacing w:before="60" w:after="60" w:line="300" w:lineRule="exact"/>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Ý kiến </w:t>
            </w:r>
            <w:r w:rsidR="00E44AC4">
              <w:rPr>
                <w:rFonts w:ascii="Times New Roman" w:hAnsi="Times New Roman" w:cs="Times New Roman"/>
                <w:sz w:val="26"/>
                <w:szCs w:val="26"/>
                <w:lang w:val="en-US"/>
              </w:rPr>
              <w:t xml:space="preserve">góp ý </w:t>
            </w:r>
            <w:r>
              <w:rPr>
                <w:rFonts w:ascii="Times New Roman" w:hAnsi="Times New Roman" w:cs="Times New Roman"/>
                <w:sz w:val="26"/>
                <w:szCs w:val="26"/>
                <w:lang w:val="en-US"/>
              </w:rPr>
              <w:t>chung</w:t>
            </w:r>
          </w:p>
        </w:tc>
        <w:tc>
          <w:tcPr>
            <w:tcW w:w="1984" w:type="dxa"/>
            <w:shd w:val="clear" w:color="auto" w:fill="auto"/>
            <w:tcMar>
              <w:top w:w="0" w:type="dxa"/>
              <w:left w:w="100" w:type="dxa"/>
              <w:bottom w:w="0" w:type="dxa"/>
              <w:right w:w="100" w:type="dxa"/>
            </w:tcMar>
          </w:tcPr>
          <w:p w14:paraId="0B20DE58" w14:textId="099A45C3" w:rsidR="00FE0F93" w:rsidRPr="00D10D61" w:rsidRDefault="005C45AE">
            <w:pPr>
              <w:widowControl w:val="0"/>
              <w:spacing w:before="60" w:after="60" w:line="300" w:lineRule="exact"/>
              <w:jc w:val="center"/>
              <w:rPr>
                <w:rFonts w:ascii="Times New Roman" w:hAnsi="Times New Roman" w:cs="Times New Roman"/>
                <w:sz w:val="26"/>
                <w:szCs w:val="26"/>
                <w:lang w:val="en-US"/>
              </w:rPr>
            </w:pPr>
            <w:r w:rsidRPr="005C45AE">
              <w:rPr>
                <w:rFonts w:ascii="Times New Roman" w:hAnsi="Times New Roman" w:cs="Times New Roman"/>
                <w:sz w:val="26"/>
                <w:szCs w:val="26"/>
                <w:lang w:val="en-US"/>
              </w:rPr>
              <w:t>Vụ Kế hoạch - Tài chính, Bộ Công Thương</w:t>
            </w:r>
          </w:p>
        </w:tc>
        <w:tc>
          <w:tcPr>
            <w:tcW w:w="5954" w:type="dxa"/>
            <w:shd w:val="clear" w:color="auto" w:fill="auto"/>
            <w:tcMar>
              <w:top w:w="0" w:type="dxa"/>
              <w:left w:w="100" w:type="dxa"/>
              <w:bottom w:w="0" w:type="dxa"/>
              <w:right w:w="100" w:type="dxa"/>
            </w:tcMar>
          </w:tcPr>
          <w:p w14:paraId="6F84927A" w14:textId="348B50F7" w:rsidR="00FE0F93" w:rsidRPr="00D10D61" w:rsidRDefault="005C45AE" w:rsidP="005C45AE">
            <w:pPr>
              <w:widowControl w:val="0"/>
              <w:spacing w:before="60" w:after="60" w:line="300" w:lineRule="exact"/>
              <w:jc w:val="both"/>
              <w:rPr>
                <w:rFonts w:ascii="Times New Roman" w:hAnsi="Times New Roman" w:cs="Times New Roman"/>
                <w:sz w:val="26"/>
                <w:szCs w:val="26"/>
                <w:lang w:val="en-US"/>
              </w:rPr>
            </w:pPr>
            <w:r w:rsidRPr="005C45AE">
              <w:rPr>
                <w:rFonts w:ascii="Times New Roman" w:hAnsi="Times New Roman" w:cs="Times New Roman"/>
                <w:sz w:val="26"/>
                <w:szCs w:val="26"/>
                <w:lang w:val="en-US"/>
              </w:rPr>
              <w:t>Căn cứ các quy định tại Luật Điện lực số 61/2024/QH15 ngày 30 tháng 11 năm 2024; Quyết định số 02/2023/QĐ-TTg ngày 03 tháng 02 năm 2023 của Thủ tướng Chính phủ quy định khung giá của mức bán lẻ điện bình quân và các văn bản quy phạm pháp luật khác có liên quan, đề nghị Ban soạn thảo nghiên cứu, tham mưu Lãnh đạo Bộ trình Thủ tướng Chính phủ ban hành Quyết định về khung giá của mức giá bán lẻ điện bình quân theo đúng quy định về nội dung và trình tự thủ tục.</w:t>
            </w:r>
          </w:p>
        </w:tc>
        <w:tc>
          <w:tcPr>
            <w:tcW w:w="4394" w:type="dxa"/>
            <w:shd w:val="clear" w:color="auto" w:fill="auto"/>
            <w:tcMar>
              <w:top w:w="0" w:type="dxa"/>
              <w:left w:w="100" w:type="dxa"/>
              <w:bottom w:w="0" w:type="dxa"/>
              <w:right w:w="100" w:type="dxa"/>
            </w:tcMar>
          </w:tcPr>
          <w:p w14:paraId="4BF4433D" w14:textId="731644E3" w:rsidR="00FE0F93" w:rsidRPr="00D10D61" w:rsidRDefault="005C45AE" w:rsidP="00CC2659">
            <w:pPr>
              <w:widowControl w:val="0"/>
              <w:spacing w:before="60" w:after="60" w:line="300" w:lineRule="exact"/>
              <w:jc w:val="both"/>
              <w:rPr>
                <w:rFonts w:ascii="Times New Roman" w:hAnsi="Times New Roman" w:cs="Times New Roman"/>
                <w:sz w:val="26"/>
                <w:szCs w:val="26"/>
                <w:lang w:val="en-US"/>
              </w:rPr>
            </w:pPr>
            <w:r w:rsidRPr="005C45AE">
              <w:rPr>
                <w:rFonts w:ascii="Times New Roman" w:hAnsi="Times New Roman" w:cs="Times New Roman"/>
                <w:sz w:val="26"/>
                <w:szCs w:val="26"/>
                <w:lang w:val="en-US"/>
              </w:rPr>
              <w:t>Tiếp thu ý kiến góp ý, Bộ Công Thương xây dựng dự thảo Quyết định căn cứ Luật Điện lực số 61/2024/QH15 và kế thừa Quyết định số 02/2023/QĐ-TTg ngày 03/02/2023 của Thủ tướng Chính phủ theo trình tự, thủ tục quy định tại Luật Ban hành văn bản quy phạm pháp luật.</w:t>
            </w:r>
          </w:p>
        </w:tc>
      </w:tr>
      <w:tr w:rsidR="00FE0F93" w:rsidRPr="00FE0F93" w14:paraId="679780AF" w14:textId="77777777" w:rsidTr="00DC0CBB">
        <w:trPr>
          <w:trHeight w:val="454"/>
        </w:trPr>
        <w:tc>
          <w:tcPr>
            <w:tcW w:w="704" w:type="dxa"/>
            <w:shd w:val="clear" w:color="auto" w:fill="auto"/>
            <w:tcMar>
              <w:top w:w="0" w:type="dxa"/>
              <w:left w:w="100" w:type="dxa"/>
              <w:bottom w:w="0" w:type="dxa"/>
              <w:right w:w="100" w:type="dxa"/>
            </w:tcMar>
          </w:tcPr>
          <w:p w14:paraId="2976C443" w14:textId="77777777" w:rsidR="00FE0F93" w:rsidRPr="00D10D61" w:rsidRDefault="00FE0F93" w:rsidP="00CD3980">
            <w:pPr>
              <w:widowControl w:val="0"/>
              <w:numPr>
                <w:ilvl w:val="0"/>
                <w:numId w:val="17"/>
              </w:numPr>
              <w:pBdr>
                <w:top w:val="nil"/>
                <w:left w:val="nil"/>
                <w:bottom w:val="nil"/>
                <w:right w:val="nil"/>
                <w:between w:val="nil"/>
              </w:pBdr>
              <w:spacing w:before="60" w:after="60" w:line="300" w:lineRule="exact"/>
              <w:ind w:left="0" w:firstLine="0"/>
              <w:jc w:val="center"/>
              <w:rPr>
                <w:rFonts w:ascii="Times New Roman" w:hAnsi="Times New Roman" w:cs="Times New Roman"/>
                <w:sz w:val="26"/>
                <w:szCs w:val="26"/>
              </w:rPr>
            </w:pPr>
          </w:p>
        </w:tc>
        <w:tc>
          <w:tcPr>
            <w:tcW w:w="1843" w:type="dxa"/>
          </w:tcPr>
          <w:p w14:paraId="4C5408E5" w14:textId="0E3A8935" w:rsidR="00FE0F93" w:rsidRPr="00D10D61" w:rsidRDefault="004211DA" w:rsidP="00CD3980">
            <w:pPr>
              <w:widowControl w:val="0"/>
              <w:spacing w:before="60" w:after="60" w:line="300" w:lineRule="exact"/>
              <w:jc w:val="both"/>
              <w:rPr>
                <w:rFonts w:ascii="Times New Roman" w:hAnsi="Times New Roman" w:cs="Times New Roman"/>
                <w:sz w:val="26"/>
                <w:szCs w:val="26"/>
                <w:lang w:val="en-US"/>
              </w:rPr>
            </w:pPr>
            <w:r>
              <w:rPr>
                <w:rFonts w:ascii="Times New Roman" w:hAnsi="Times New Roman" w:cs="Times New Roman"/>
                <w:sz w:val="26"/>
                <w:szCs w:val="26"/>
                <w:lang w:val="en-US"/>
              </w:rPr>
              <w:t>Điều 2</w:t>
            </w:r>
          </w:p>
        </w:tc>
        <w:tc>
          <w:tcPr>
            <w:tcW w:w="1984" w:type="dxa"/>
            <w:shd w:val="clear" w:color="auto" w:fill="auto"/>
            <w:tcMar>
              <w:top w:w="0" w:type="dxa"/>
              <w:left w:w="100" w:type="dxa"/>
              <w:bottom w:w="0" w:type="dxa"/>
              <w:right w:w="100" w:type="dxa"/>
            </w:tcMar>
          </w:tcPr>
          <w:p w14:paraId="4EE608C4" w14:textId="46C6AF8E" w:rsidR="00FE0F93" w:rsidRPr="00D10D61" w:rsidRDefault="004211DA" w:rsidP="00CD3980">
            <w:pPr>
              <w:widowControl w:val="0"/>
              <w:spacing w:before="60" w:after="60" w:line="300" w:lineRule="exact"/>
              <w:jc w:val="center"/>
              <w:rPr>
                <w:rFonts w:ascii="Times New Roman" w:hAnsi="Times New Roman" w:cs="Times New Roman"/>
                <w:sz w:val="26"/>
                <w:szCs w:val="26"/>
                <w:lang w:val="en-US"/>
              </w:rPr>
            </w:pPr>
            <w:r w:rsidRPr="004211DA">
              <w:rPr>
                <w:rFonts w:ascii="Times New Roman" w:hAnsi="Times New Roman" w:cs="Times New Roman"/>
                <w:sz w:val="26"/>
                <w:szCs w:val="26"/>
                <w:lang w:val="en-US"/>
              </w:rPr>
              <w:t>Văn phòng Bộ Công Thương</w:t>
            </w:r>
          </w:p>
        </w:tc>
        <w:tc>
          <w:tcPr>
            <w:tcW w:w="5954" w:type="dxa"/>
            <w:shd w:val="clear" w:color="auto" w:fill="auto"/>
            <w:tcMar>
              <w:top w:w="0" w:type="dxa"/>
              <w:left w:w="100" w:type="dxa"/>
              <w:bottom w:w="0" w:type="dxa"/>
              <w:right w:w="100" w:type="dxa"/>
            </w:tcMar>
          </w:tcPr>
          <w:p w14:paraId="64DE64B0" w14:textId="2FC06D59" w:rsidR="00FE0F93" w:rsidRPr="00D10D61" w:rsidRDefault="004211DA" w:rsidP="00CD3980">
            <w:pPr>
              <w:widowControl w:val="0"/>
              <w:spacing w:before="60" w:after="60" w:line="300" w:lineRule="exact"/>
              <w:jc w:val="both"/>
              <w:rPr>
                <w:rFonts w:ascii="Times New Roman" w:hAnsi="Times New Roman" w:cs="Times New Roman"/>
                <w:sz w:val="26"/>
                <w:szCs w:val="26"/>
                <w:lang w:val="en-US"/>
              </w:rPr>
            </w:pPr>
            <w:r w:rsidRPr="004211DA">
              <w:rPr>
                <w:rFonts w:ascii="Times New Roman" w:hAnsi="Times New Roman" w:cs="Times New Roman"/>
                <w:sz w:val="26"/>
                <w:szCs w:val="26"/>
                <w:lang w:val="en-US"/>
              </w:rPr>
              <w:t xml:space="preserve">Tại dự thảo Tờ trình Thủ tướng Chính phủ, đề nghị đơn vị chủ trì soạn thảo thuyết minh về cơ sở xác định cụ thể mức giá tối thiểu và mức giá tối đa của khung giá của </w:t>
            </w:r>
            <w:r w:rsidRPr="004211DA">
              <w:rPr>
                <w:rFonts w:ascii="Times New Roman" w:hAnsi="Times New Roman" w:cs="Times New Roman"/>
                <w:sz w:val="26"/>
                <w:szCs w:val="26"/>
                <w:lang w:val="en-US"/>
              </w:rPr>
              <w:lastRenderedPageBreak/>
              <w:t>mức giá bán lẻ điện bình quân quy định tại Điều 2 dự thảo Quyết định.</w:t>
            </w:r>
          </w:p>
        </w:tc>
        <w:tc>
          <w:tcPr>
            <w:tcW w:w="4394" w:type="dxa"/>
            <w:shd w:val="clear" w:color="auto" w:fill="auto"/>
            <w:tcMar>
              <w:top w:w="0" w:type="dxa"/>
              <w:left w:w="100" w:type="dxa"/>
              <w:bottom w:w="0" w:type="dxa"/>
              <w:right w:w="100" w:type="dxa"/>
            </w:tcMar>
          </w:tcPr>
          <w:p w14:paraId="2ADC7C41" w14:textId="717970E3" w:rsidR="00FE0F93" w:rsidRPr="00D10D61" w:rsidRDefault="004211DA" w:rsidP="00CC2659">
            <w:pPr>
              <w:widowControl w:val="0"/>
              <w:spacing w:before="60" w:after="60" w:line="300" w:lineRule="exact"/>
              <w:jc w:val="both"/>
              <w:rPr>
                <w:rFonts w:ascii="Times New Roman" w:hAnsi="Times New Roman" w:cs="Times New Roman"/>
                <w:sz w:val="26"/>
                <w:szCs w:val="26"/>
                <w:lang w:val="en-US"/>
              </w:rPr>
            </w:pPr>
            <w:r w:rsidRPr="004211DA">
              <w:rPr>
                <w:rFonts w:ascii="Times New Roman" w:hAnsi="Times New Roman" w:cs="Times New Roman"/>
                <w:sz w:val="26"/>
                <w:szCs w:val="26"/>
                <w:lang w:val="en-US"/>
              </w:rPr>
              <w:lastRenderedPageBreak/>
              <w:t xml:space="preserve">Mức giá tối thiểu và mức giá tối đa của khung giá của mức giá bán lẻ điện bình quân quy định tại Điều 2 dự thảo Quyết </w:t>
            </w:r>
            <w:r w:rsidRPr="004211DA">
              <w:rPr>
                <w:rFonts w:ascii="Times New Roman" w:hAnsi="Times New Roman" w:cs="Times New Roman"/>
                <w:sz w:val="26"/>
                <w:szCs w:val="26"/>
                <w:lang w:val="en-US"/>
              </w:rPr>
              <w:lastRenderedPageBreak/>
              <w:t>định kế thừa Quyết định số 02/2023/QĐ-TTg ngày 03/02/2023 của Thủ tướng Chính phủ (Trong năm 2022, Bộ Công Thương đã có Tờ trình báo cáo Thủ tướng thuyết minh về cơ sở, kết quả tính toán mức giá này).</w:t>
            </w:r>
            <w:r w:rsidR="00CC2659">
              <w:rPr>
                <w:rFonts w:ascii="Times New Roman" w:hAnsi="Times New Roman" w:cs="Times New Roman"/>
                <w:sz w:val="26"/>
                <w:szCs w:val="26"/>
                <w:lang w:val="en-US"/>
              </w:rPr>
              <w:t xml:space="preserve"> Hiện nay, mức giá bán lẻ điện bình quân thực hiện </w:t>
            </w:r>
            <w:r w:rsidR="00CC2659" w:rsidRPr="00CC2659">
              <w:rPr>
                <w:rFonts w:ascii="Times New Roman" w:hAnsi="Times New Roman" w:cs="Times New Roman"/>
                <w:sz w:val="26"/>
                <w:szCs w:val="26"/>
                <w:lang w:val="en-US"/>
              </w:rPr>
              <w:t>trong phạm vi khung giá của mức giá bán lẻ điện bình quân quy định tại Quyết định số</w:t>
            </w:r>
            <w:r w:rsidR="00CC2659">
              <w:rPr>
                <w:rFonts w:ascii="Times New Roman" w:hAnsi="Times New Roman" w:cs="Times New Roman"/>
                <w:sz w:val="26"/>
                <w:szCs w:val="26"/>
                <w:lang w:val="en-US"/>
              </w:rPr>
              <w:t xml:space="preserve"> 02/2023/QĐ-TTg. Tập đoàn Điện lực Việt Nam chưa có báo cáo Bộ Công Thương điều chỉnh khung giá. Vì vậy, Bộ Công Thương kiến nghị giữ nguyên mức giá tối thiểu và tối đa tại Quyết định số 02/2023/QĐ-TTg.</w:t>
            </w:r>
          </w:p>
        </w:tc>
      </w:tr>
      <w:tr w:rsidR="004211DA" w:rsidRPr="00FE0F93" w14:paraId="38E3C04C" w14:textId="77777777" w:rsidTr="00DC0CBB">
        <w:trPr>
          <w:trHeight w:val="454"/>
        </w:trPr>
        <w:tc>
          <w:tcPr>
            <w:tcW w:w="704" w:type="dxa"/>
            <w:shd w:val="clear" w:color="auto" w:fill="auto"/>
            <w:tcMar>
              <w:top w:w="0" w:type="dxa"/>
              <w:left w:w="100" w:type="dxa"/>
              <w:bottom w:w="0" w:type="dxa"/>
              <w:right w:w="100" w:type="dxa"/>
            </w:tcMar>
          </w:tcPr>
          <w:p w14:paraId="48A7A710" w14:textId="77777777" w:rsidR="004211DA" w:rsidRPr="00D10D61" w:rsidRDefault="004211DA" w:rsidP="00CD3980">
            <w:pPr>
              <w:widowControl w:val="0"/>
              <w:numPr>
                <w:ilvl w:val="0"/>
                <w:numId w:val="17"/>
              </w:numPr>
              <w:pBdr>
                <w:top w:val="nil"/>
                <w:left w:val="nil"/>
                <w:bottom w:val="nil"/>
                <w:right w:val="nil"/>
                <w:between w:val="nil"/>
              </w:pBdr>
              <w:spacing w:before="60" w:after="60" w:line="300" w:lineRule="exact"/>
              <w:ind w:left="0" w:firstLine="0"/>
              <w:jc w:val="center"/>
              <w:rPr>
                <w:rFonts w:ascii="Times New Roman" w:hAnsi="Times New Roman" w:cs="Times New Roman"/>
                <w:sz w:val="26"/>
                <w:szCs w:val="26"/>
              </w:rPr>
            </w:pPr>
          </w:p>
        </w:tc>
        <w:tc>
          <w:tcPr>
            <w:tcW w:w="1843" w:type="dxa"/>
          </w:tcPr>
          <w:p w14:paraId="62C0FE52" w14:textId="11BC33E2" w:rsidR="004211DA" w:rsidRDefault="004211DA" w:rsidP="00CD3980">
            <w:pPr>
              <w:widowControl w:val="0"/>
              <w:spacing w:before="60" w:after="60" w:line="300" w:lineRule="exact"/>
              <w:jc w:val="both"/>
              <w:rPr>
                <w:rFonts w:ascii="Times New Roman" w:hAnsi="Times New Roman" w:cs="Times New Roman"/>
                <w:sz w:val="26"/>
                <w:szCs w:val="26"/>
                <w:lang w:val="en-US"/>
              </w:rPr>
            </w:pPr>
            <w:r w:rsidRPr="004211DA">
              <w:rPr>
                <w:rFonts w:ascii="Times New Roman" w:hAnsi="Times New Roman" w:cs="Times New Roman"/>
                <w:sz w:val="26"/>
                <w:szCs w:val="26"/>
                <w:lang w:val="en-US"/>
              </w:rPr>
              <w:t>Điều 3, Điều 4</w:t>
            </w:r>
          </w:p>
        </w:tc>
        <w:tc>
          <w:tcPr>
            <w:tcW w:w="1984" w:type="dxa"/>
            <w:shd w:val="clear" w:color="auto" w:fill="auto"/>
            <w:tcMar>
              <w:top w:w="0" w:type="dxa"/>
              <w:left w:w="100" w:type="dxa"/>
              <w:bottom w:w="0" w:type="dxa"/>
              <w:right w:w="100" w:type="dxa"/>
            </w:tcMar>
          </w:tcPr>
          <w:p w14:paraId="20E9685B" w14:textId="6407C248" w:rsidR="004211DA" w:rsidRPr="004211DA" w:rsidRDefault="004211DA" w:rsidP="00CD3980">
            <w:pPr>
              <w:widowControl w:val="0"/>
              <w:spacing w:before="60" w:after="60" w:line="300" w:lineRule="exact"/>
              <w:jc w:val="center"/>
              <w:rPr>
                <w:rFonts w:ascii="Times New Roman" w:hAnsi="Times New Roman" w:cs="Times New Roman"/>
                <w:sz w:val="26"/>
                <w:szCs w:val="26"/>
                <w:lang w:val="en-US"/>
              </w:rPr>
            </w:pPr>
            <w:r w:rsidRPr="004211DA">
              <w:rPr>
                <w:rFonts w:ascii="Times New Roman" w:hAnsi="Times New Roman" w:cs="Times New Roman"/>
                <w:sz w:val="26"/>
                <w:szCs w:val="26"/>
                <w:lang w:val="en-US"/>
              </w:rPr>
              <w:t>Văn phòng Bộ Công Thương</w:t>
            </w:r>
          </w:p>
        </w:tc>
        <w:tc>
          <w:tcPr>
            <w:tcW w:w="5954" w:type="dxa"/>
            <w:shd w:val="clear" w:color="auto" w:fill="auto"/>
            <w:tcMar>
              <w:top w:w="0" w:type="dxa"/>
              <w:left w:w="100" w:type="dxa"/>
              <w:bottom w:w="0" w:type="dxa"/>
              <w:right w:w="100" w:type="dxa"/>
            </w:tcMar>
          </w:tcPr>
          <w:p w14:paraId="3555395C" w14:textId="33952F15" w:rsidR="004211DA" w:rsidRPr="004211DA" w:rsidRDefault="004211DA" w:rsidP="00CD3980">
            <w:pPr>
              <w:widowControl w:val="0"/>
              <w:spacing w:before="60" w:after="60" w:line="300" w:lineRule="exact"/>
              <w:jc w:val="both"/>
              <w:rPr>
                <w:rFonts w:ascii="Times New Roman" w:hAnsi="Times New Roman" w:cs="Times New Roman"/>
                <w:sz w:val="26"/>
                <w:szCs w:val="26"/>
                <w:lang w:val="en-US"/>
              </w:rPr>
            </w:pPr>
            <w:r w:rsidRPr="004211DA">
              <w:rPr>
                <w:rFonts w:ascii="Times New Roman" w:hAnsi="Times New Roman" w:cs="Times New Roman"/>
                <w:sz w:val="26"/>
                <w:szCs w:val="26"/>
                <w:lang w:val="en-US"/>
              </w:rPr>
              <w:t xml:space="preserve">Điều 3, Điều 4 dự thảo Quyết định quy định về trình tự, thủ tục điều chỉnh khung giá của mức giá bán lẻ điện bình quân và hồ sơ khung giá của mức giá bán lẻ điện bình quân. Tuy nhiên, điểm b khoản 3 Điều 50 Luật Điện lực quy định </w:t>
            </w:r>
            <w:r w:rsidRPr="004211DA">
              <w:rPr>
                <w:rFonts w:ascii="Times New Roman" w:hAnsi="Times New Roman" w:cs="Times New Roman"/>
                <w:i/>
                <w:sz w:val="26"/>
                <w:szCs w:val="26"/>
                <w:lang w:val="en-US"/>
              </w:rPr>
              <w:t>“Thủ tướng Chính phủ quy định về cơ cấu biểu giá bán lẻ điện và khung giá của mức giá bán lẻ điện bình quân”</w:t>
            </w:r>
            <w:r w:rsidRPr="004211DA">
              <w:rPr>
                <w:rFonts w:ascii="Times New Roman" w:hAnsi="Times New Roman" w:cs="Times New Roman"/>
                <w:sz w:val="26"/>
                <w:szCs w:val="26"/>
                <w:lang w:val="en-US"/>
              </w:rPr>
              <w:t xml:space="preserve">. Luật Điện lực 2024 không giao cho Thủ tướng Chính phủ quy định về trình tự, thủ tục điều chỉnh khung giá của mức giá bán lẻ điện bình quân và hồ sơ khung giá của mức giá bán lẻ điện bình quân. Do đó, đề nghị đơn vị chủ trì soạn thảo xem xét lại cơ sở pháp lý của việc quy định các nội dung trên tại dự </w:t>
            </w:r>
            <w:r w:rsidRPr="004211DA">
              <w:rPr>
                <w:rFonts w:ascii="Times New Roman" w:hAnsi="Times New Roman" w:cs="Times New Roman"/>
                <w:sz w:val="26"/>
                <w:szCs w:val="26"/>
                <w:lang w:val="en-US"/>
              </w:rPr>
              <w:lastRenderedPageBreak/>
              <w:t>thảo Quyết định của Thủ tướng Chính phủ.</w:t>
            </w:r>
          </w:p>
        </w:tc>
        <w:tc>
          <w:tcPr>
            <w:tcW w:w="4394" w:type="dxa"/>
            <w:shd w:val="clear" w:color="auto" w:fill="auto"/>
            <w:tcMar>
              <w:top w:w="0" w:type="dxa"/>
              <w:left w:w="100" w:type="dxa"/>
              <w:bottom w:w="0" w:type="dxa"/>
              <w:right w:w="100" w:type="dxa"/>
            </w:tcMar>
          </w:tcPr>
          <w:p w14:paraId="21865125" w14:textId="2C864065" w:rsidR="004211DA" w:rsidRPr="004211DA" w:rsidRDefault="004211DA" w:rsidP="00AA28DA">
            <w:pPr>
              <w:widowControl w:val="0"/>
              <w:spacing w:before="60" w:after="60" w:line="300" w:lineRule="exact"/>
              <w:jc w:val="both"/>
              <w:rPr>
                <w:rFonts w:ascii="Times New Roman" w:hAnsi="Times New Roman" w:cs="Times New Roman"/>
                <w:sz w:val="26"/>
                <w:szCs w:val="26"/>
                <w:lang w:val="en-US"/>
              </w:rPr>
            </w:pPr>
            <w:r w:rsidRPr="004211DA">
              <w:rPr>
                <w:rFonts w:ascii="Times New Roman" w:hAnsi="Times New Roman" w:cs="Times New Roman"/>
                <w:sz w:val="26"/>
                <w:szCs w:val="26"/>
                <w:lang w:val="en-US"/>
              </w:rPr>
              <w:lastRenderedPageBreak/>
              <w:t xml:space="preserve">Tại điểm c khoản 3 Điều 50 Luật Điện lực số 61/2024/QH15 quy định Bộ Công Thương xây dựng, trình Thủ tướng Chính phủ quy định về khung giá của mức giá bán lẻ điện bình quân. </w:t>
            </w:r>
            <w:r w:rsidR="00AA28DA">
              <w:rPr>
                <w:rFonts w:ascii="Times New Roman" w:hAnsi="Times New Roman" w:cs="Times New Roman"/>
                <w:sz w:val="26"/>
                <w:szCs w:val="26"/>
                <w:lang w:val="en-US"/>
              </w:rPr>
              <w:t xml:space="preserve">Tiếp thu ý kiến của Văn phòng Bộ, Bộ Công Thương đã hiệu chỉnh lại tiêu đề của Điều 3 </w:t>
            </w:r>
            <w:r w:rsidR="00AA28DA" w:rsidRPr="00AA28DA">
              <w:rPr>
                <w:rFonts w:ascii="Times New Roman" w:hAnsi="Times New Roman" w:cs="Times New Roman"/>
                <w:i/>
                <w:sz w:val="26"/>
                <w:szCs w:val="26"/>
                <w:lang w:val="en-US"/>
              </w:rPr>
              <w:t>“Tổ chứ</w:t>
            </w:r>
            <w:r w:rsidR="00F714A4">
              <w:rPr>
                <w:rFonts w:ascii="Times New Roman" w:hAnsi="Times New Roman" w:cs="Times New Roman"/>
                <w:i/>
                <w:sz w:val="26"/>
                <w:szCs w:val="26"/>
                <w:lang w:val="en-US"/>
              </w:rPr>
              <w:t>c</w:t>
            </w:r>
            <w:r w:rsidR="00AA28DA" w:rsidRPr="00AA28DA">
              <w:rPr>
                <w:rFonts w:ascii="Times New Roman" w:hAnsi="Times New Roman" w:cs="Times New Roman"/>
                <w:i/>
                <w:sz w:val="26"/>
                <w:szCs w:val="26"/>
                <w:lang w:val="en-US"/>
              </w:rPr>
              <w:t xml:space="preserve"> thực hiện việc điều chỉnh khung giá của mức giá bán lẻ điện bình quân”</w:t>
            </w:r>
            <w:r w:rsidR="00AA28DA" w:rsidRPr="00AA28DA">
              <w:rPr>
                <w:rFonts w:ascii="Times New Roman" w:hAnsi="Times New Roman" w:cs="Times New Roman"/>
                <w:sz w:val="26"/>
                <w:szCs w:val="26"/>
                <w:lang w:val="en-US"/>
              </w:rPr>
              <w:t xml:space="preserve"> </w:t>
            </w:r>
            <w:r w:rsidRPr="004211DA">
              <w:rPr>
                <w:rFonts w:ascii="Times New Roman" w:hAnsi="Times New Roman" w:cs="Times New Roman"/>
                <w:sz w:val="26"/>
                <w:szCs w:val="26"/>
                <w:lang w:val="en-US"/>
              </w:rPr>
              <w:t xml:space="preserve">Tại dự thảo Quyết định </w:t>
            </w:r>
            <w:r w:rsidR="00AA28DA">
              <w:rPr>
                <w:rFonts w:ascii="Times New Roman" w:hAnsi="Times New Roman" w:cs="Times New Roman"/>
                <w:sz w:val="26"/>
                <w:szCs w:val="26"/>
                <w:lang w:val="en-US"/>
              </w:rPr>
              <w:t>chỉ bổ sung, làm rõ quá trình</w:t>
            </w:r>
            <w:r w:rsidRPr="004211DA">
              <w:rPr>
                <w:rFonts w:ascii="Times New Roman" w:hAnsi="Times New Roman" w:cs="Times New Roman"/>
                <w:sz w:val="26"/>
                <w:szCs w:val="26"/>
                <w:lang w:val="en-US"/>
              </w:rPr>
              <w:t xml:space="preserve"> </w:t>
            </w:r>
            <w:r w:rsidR="00AA28DA">
              <w:rPr>
                <w:rFonts w:ascii="Times New Roman" w:hAnsi="Times New Roman" w:cs="Times New Roman"/>
                <w:sz w:val="26"/>
                <w:szCs w:val="26"/>
                <w:lang w:val="en-US"/>
              </w:rPr>
              <w:t xml:space="preserve">Tập đoàn Điện lực Việt Nam báo cáo Bộ Công Thương </w:t>
            </w:r>
            <w:r w:rsidRPr="004211DA">
              <w:rPr>
                <w:rFonts w:ascii="Times New Roman" w:hAnsi="Times New Roman" w:cs="Times New Roman"/>
                <w:sz w:val="26"/>
                <w:szCs w:val="26"/>
                <w:lang w:val="en-US"/>
              </w:rPr>
              <w:t xml:space="preserve">điều chỉnh khung giá trong trường hợp </w:t>
            </w:r>
            <w:r w:rsidRPr="004211DA">
              <w:rPr>
                <w:rFonts w:ascii="Times New Roman" w:hAnsi="Times New Roman" w:cs="Times New Roman"/>
                <w:sz w:val="26"/>
                <w:szCs w:val="26"/>
                <w:lang w:val="en-US"/>
              </w:rPr>
              <w:lastRenderedPageBreak/>
              <w:t>có biến động lớn về các thông số tính toán khung giá, chi phí sản xuất kinh doanh điện và yêu cầu phân bổ các khoản chi phí chưa được tính vào giá bán lẻ điện bình quân</w:t>
            </w:r>
            <w:r w:rsidR="00AA28DA">
              <w:rPr>
                <w:rFonts w:ascii="Times New Roman" w:hAnsi="Times New Roman" w:cs="Times New Roman"/>
                <w:sz w:val="26"/>
                <w:szCs w:val="26"/>
                <w:lang w:val="en-US"/>
              </w:rPr>
              <w:t xml:space="preserve"> </w:t>
            </w:r>
            <w:r w:rsidR="00AA28DA" w:rsidRPr="00AA28DA">
              <w:rPr>
                <w:rFonts w:ascii="Times New Roman" w:hAnsi="Times New Roman" w:cs="Times New Roman"/>
                <w:sz w:val="26"/>
                <w:szCs w:val="26"/>
                <w:lang w:val="en-US"/>
              </w:rPr>
              <w:t>đã được quy định tại Quyết định số 02/2023/QĐ-TTg</w:t>
            </w:r>
            <w:r w:rsidR="00AA28DA">
              <w:rPr>
                <w:rFonts w:ascii="Times New Roman" w:hAnsi="Times New Roman" w:cs="Times New Roman"/>
                <w:sz w:val="26"/>
                <w:szCs w:val="26"/>
                <w:lang w:val="en-US"/>
              </w:rPr>
              <w:t>; k</w:t>
            </w:r>
            <w:r w:rsidR="00AA28DA" w:rsidRPr="00AA28DA">
              <w:rPr>
                <w:rFonts w:ascii="Times New Roman" w:hAnsi="Times New Roman" w:cs="Times New Roman"/>
                <w:sz w:val="26"/>
                <w:szCs w:val="26"/>
                <w:lang w:val="en-US"/>
              </w:rPr>
              <w:t>hi nhận được đề xuất của Tập đoàn Điện lực Việ</w:t>
            </w:r>
            <w:r w:rsidR="00505276">
              <w:rPr>
                <w:rFonts w:ascii="Times New Roman" w:hAnsi="Times New Roman" w:cs="Times New Roman"/>
                <w:sz w:val="26"/>
                <w:szCs w:val="26"/>
                <w:lang w:val="en-US"/>
              </w:rPr>
              <w:t>t N</w:t>
            </w:r>
            <w:r w:rsidR="00AA28DA" w:rsidRPr="00AA28DA">
              <w:rPr>
                <w:rFonts w:ascii="Times New Roman" w:hAnsi="Times New Roman" w:cs="Times New Roman"/>
                <w:sz w:val="26"/>
                <w:szCs w:val="26"/>
                <w:lang w:val="en-US"/>
              </w:rPr>
              <w:t xml:space="preserve">am, Bộ Công Thương sẽ xem xét để đề xuất Thủ tướng Chính phủ ban hành văn bản quy phạm pháp luật </w:t>
            </w:r>
            <w:r w:rsidR="00AA28DA">
              <w:rPr>
                <w:rFonts w:ascii="Times New Roman" w:hAnsi="Times New Roman" w:cs="Times New Roman"/>
                <w:sz w:val="26"/>
                <w:szCs w:val="26"/>
                <w:lang w:val="en-US"/>
              </w:rPr>
              <w:t xml:space="preserve">sửa đổi, bổ sung hoặc </w:t>
            </w:r>
            <w:r w:rsidR="00AA28DA" w:rsidRPr="00AA28DA">
              <w:rPr>
                <w:rFonts w:ascii="Times New Roman" w:hAnsi="Times New Roman" w:cs="Times New Roman"/>
                <w:sz w:val="26"/>
                <w:szCs w:val="26"/>
                <w:lang w:val="en-US"/>
              </w:rPr>
              <w:t>thay thế</w:t>
            </w:r>
            <w:r w:rsidRPr="004211DA">
              <w:rPr>
                <w:rFonts w:ascii="Times New Roman" w:hAnsi="Times New Roman" w:cs="Times New Roman"/>
                <w:sz w:val="26"/>
                <w:szCs w:val="26"/>
                <w:lang w:val="en-US"/>
              </w:rPr>
              <w:t>.</w:t>
            </w:r>
          </w:p>
        </w:tc>
      </w:tr>
      <w:tr w:rsidR="004211DA" w:rsidRPr="00FE0F93" w14:paraId="19478561" w14:textId="77777777" w:rsidTr="00DC0CBB">
        <w:trPr>
          <w:trHeight w:val="454"/>
        </w:trPr>
        <w:tc>
          <w:tcPr>
            <w:tcW w:w="704" w:type="dxa"/>
            <w:shd w:val="clear" w:color="auto" w:fill="auto"/>
            <w:tcMar>
              <w:top w:w="0" w:type="dxa"/>
              <w:left w:w="100" w:type="dxa"/>
              <w:bottom w:w="0" w:type="dxa"/>
              <w:right w:w="100" w:type="dxa"/>
            </w:tcMar>
          </w:tcPr>
          <w:p w14:paraId="05F8E927" w14:textId="77777777" w:rsidR="004211DA" w:rsidRPr="00D10D61" w:rsidRDefault="004211DA" w:rsidP="00CD3980">
            <w:pPr>
              <w:widowControl w:val="0"/>
              <w:numPr>
                <w:ilvl w:val="0"/>
                <w:numId w:val="17"/>
              </w:numPr>
              <w:pBdr>
                <w:top w:val="nil"/>
                <w:left w:val="nil"/>
                <w:bottom w:val="nil"/>
                <w:right w:val="nil"/>
                <w:between w:val="nil"/>
              </w:pBdr>
              <w:spacing w:before="60" w:after="60" w:line="300" w:lineRule="exact"/>
              <w:ind w:left="0" w:firstLine="0"/>
              <w:jc w:val="center"/>
              <w:rPr>
                <w:rFonts w:ascii="Times New Roman" w:hAnsi="Times New Roman" w:cs="Times New Roman"/>
                <w:sz w:val="26"/>
                <w:szCs w:val="26"/>
              </w:rPr>
            </w:pPr>
          </w:p>
        </w:tc>
        <w:tc>
          <w:tcPr>
            <w:tcW w:w="1843" w:type="dxa"/>
          </w:tcPr>
          <w:p w14:paraId="39152C39" w14:textId="4A65B9D4" w:rsidR="004211DA" w:rsidRPr="004211DA" w:rsidRDefault="004211DA" w:rsidP="00CD3980">
            <w:pPr>
              <w:widowControl w:val="0"/>
              <w:spacing w:before="60" w:after="60" w:line="300" w:lineRule="exact"/>
              <w:jc w:val="both"/>
              <w:rPr>
                <w:rFonts w:ascii="Times New Roman" w:hAnsi="Times New Roman" w:cs="Times New Roman"/>
                <w:sz w:val="26"/>
                <w:szCs w:val="26"/>
                <w:lang w:val="en-US"/>
              </w:rPr>
            </w:pPr>
            <w:r>
              <w:rPr>
                <w:rFonts w:ascii="Times New Roman" w:hAnsi="Times New Roman" w:cs="Times New Roman"/>
                <w:sz w:val="26"/>
                <w:szCs w:val="26"/>
                <w:lang w:val="en-US"/>
              </w:rPr>
              <w:t>K</w:t>
            </w:r>
            <w:r w:rsidRPr="004211DA">
              <w:rPr>
                <w:rFonts w:ascii="Times New Roman" w:hAnsi="Times New Roman" w:cs="Times New Roman"/>
                <w:sz w:val="26"/>
                <w:szCs w:val="26"/>
                <w:lang w:val="en-US"/>
              </w:rPr>
              <w:t>hoản 2 Điều 4</w:t>
            </w:r>
          </w:p>
        </w:tc>
        <w:tc>
          <w:tcPr>
            <w:tcW w:w="1984" w:type="dxa"/>
            <w:shd w:val="clear" w:color="auto" w:fill="auto"/>
            <w:tcMar>
              <w:top w:w="0" w:type="dxa"/>
              <w:left w:w="100" w:type="dxa"/>
              <w:bottom w:w="0" w:type="dxa"/>
              <w:right w:w="100" w:type="dxa"/>
            </w:tcMar>
          </w:tcPr>
          <w:p w14:paraId="7C4E633D" w14:textId="77E80889" w:rsidR="004211DA" w:rsidRPr="004211DA" w:rsidRDefault="004211DA" w:rsidP="00CD3980">
            <w:pPr>
              <w:widowControl w:val="0"/>
              <w:spacing w:before="60" w:after="60" w:line="300" w:lineRule="exact"/>
              <w:jc w:val="center"/>
              <w:rPr>
                <w:rFonts w:ascii="Times New Roman" w:hAnsi="Times New Roman" w:cs="Times New Roman"/>
                <w:sz w:val="26"/>
                <w:szCs w:val="26"/>
                <w:lang w:val="en-US"/>
              </w:rPr>
            </w:pPr>
            <w:r w:rsidRPr="004211DA">
              <w:rPr>
                <w:rFonts w:ascii="Times New Roman" w:hAnsi="Times New Roman" w:cs="Times New Roman"/>
                <w:sz w:val="26"/>
                <w:szCs w:val="26"/>
                <w:lang w:val="en-US"/>
              </w:rPr>
              <w:t>Tập đoàn Điện lực Việt Nam</w:t>
            </w:r>
          </w:p>
        </w:tc>
        <w:tc>
          <w:tcPr>
            <w:tcW w:w="5954" w:type="dxa"/>
            <w:shd w:val="clear" w:color="auto" w:fill="auto"/>
            <w:tcMar>
              <w:top w:w="0" w:type="dxa"/>
              <w:left w:w="100" w:type="dxa"/>
              <w:bottom w:w="0" w:type="dxa"/>
              <w:right w:w="100" w:type="dxa"/>
            </w:tcMar>
          </w:tcPr>
          <w:p w14:paraId="51F032A7" w14:textId="77777777" w:rsidR="004211DA" w:rsidRPr="004211DA" w:rsidRDefault="004211DA" w:rsidP="004211DA">
            <w:pPr>
              <w:tabs>
                <w:tab w:val="left" w:pos="0"/>
              </w:tabs>
              <w:spacing w:beforeLines="20" w:before="48" w:afterLines="20" w:after="48" w:line="240" w:lineRule="auto"/>
              <w:jc w:val="both"/>
              <w:rPr>
                <w:rFonts w:ascii="Times New Roman" w:eastAsia="Times New Roman" w:hAnsi="Times New Roman" w:cs="Times New Roman"/>
                <w:sz w:val="28"/>
                <w:szCs w:val="28"/>
                <w:lang w:val="en-US"/>
              </w:rPr>
            </w:pPr>
            <w:r w:rsidRPr="004211DA">
              <w:rPr>
                <w:rFonts w:ascii="Times New Roman" w:eastAsia="Times New Roman" w:hAnsi="Times New Roman" w:cs="Times New Roman"/>
                <w:sz w:val="28"/>
                <w:szCs w:val="28"/>
                <w:lang w:val="en-US"/>
              </w:rPr>
              <w:t>Tại khoản 2 Điều 4 đề nghị hiệu chỉnh để phù hợp với nội dung khung giá, cụ thể như sau:</w:t>
            </w:r>
          </w:p>
          <w:p w14:paraId="664227E0" w14:textId="6126B25E" w:rsidR="004211DA" w:rsidRPr="004211DA" w:rsidRDefault="004211DA" w:rsidP="004211DA">
            <w:pPr>
              <w:tabs>
                <w:tab w:val="left" w:pos="0"/>
              </w:tabs>
              <w:spacing w:beforeLines="20" w:before="48" w:afterLines="20" w:after="48" w:line="240" w:lineRule="auto"/>
              <w:jc w:val="both"/>
              <w:rPr>
                <w:rFonts w:ascii="Times New Roman" w:eastAsia="Times New Roman" w:hAnsi="Times New Roman" w:cs="Times New Roman"/>
                <w:i/>
                <w:sz w:val="26"/>
                <w:szCs w:val="26"/>
                <w:lang w:val="en-US"/>
              </w:rPr>
            </w:pPr>
            <w:r w:rsidRPr="004211DA">
              <w:rPr>
                <w:rFonts w:ascii="Times New Roman" w:eastAsia="Times New Roman" w:hAnsi="Times New Roman" w:cs="Times New Roman"/>
                <w:bCs/>
                <w:i/>
                <w:color w:val="000000"/>
                <w:sz w:val="26"/>
                <w:szCs w:val="26"/>
                <w:lang w:val="en-US"/>
              </w:rPr>
              <w:t xml:space="preserve">“Các nội dung kèm theo Công văn báo cáo về khung giá của mức giá bán lẻ điện bình quân của Tập đoàn Điện lực Việt Nam bao gồm: nguyên tắc tính toán chi phí từng khâu, trong đó có nguyên tắc dự kiến các thông số đầu vào như tỷ giá ngoại tệ, giá nhiên liệu trong nước và giá nhiên liệu nhập khẩu, cơ cấu sản lượng điện; bảng tổng hợp kết quả tính toán chi phí từng khâu; bảng chi tiết số liệu tính toán chi phí từng khâu; các tài liệu, văn bản sử dụng làm căn cứ, cơ sở trong việc tính toán; thuyết minh các định mức chi phí và các đơn giá được sử dụng trong tính toán chi phí dự kiến của các khâu (nếu có); thuyết minh các chi phí sản xuất kinh doanh điện chưa được tính vào giá bán điện nhưng đã được phân bổ vào giá thành sản xuất kinh doanh điện và số </w:t>
            </w:r>
            <w:r w:rsidRPr="004211DA">
              <w:rPr>
                <w:rFonts w:ascii="Times New Roman" w:eastAsia="Times New Roman" w:hAnsi="Times New Roman" w:cs="Times New Roman"/>
                <w:bCs/>
                <w:i/>
                <w:color w:val="000000"/>
                <w:sz w:val="26"/>
                <w:szCs w:val="26"/>
                <w:lang w:val="en-US"/>
              </w:rPr>
              <w:lastRenderedPageBreak/>
              <w:t xml:space="preserve">dư còn lại dự kiến phân bổ </w:t>
            </w:r>
            <w:r w:rsidRPr="004211DA">
              <w:rPr>
                <w:rFonts w:ascii="Times New Roman" w:eastAsia="Times New Roman" w:hAnsi="Times New Roman" w:cs="Times New Roman"/>
                <w:bCs/>
                <w:i/>
                <w:color w:val="000000"/>
                <w:sz w:val="26"/>
                <w:szCs w:val="26"/>
                <w:u w:val="single"/>
                <w:lang w:val="en-US"/>
              </w:rPr>
              <w:t>vào khung giá của</w:t>
            </w:r>
            <w:r w:rsidRPr="004211DA">
              <w:rPr>
                <w:rFonts w:ascii="Times New Roman" w:eastAsia="Times New Roman" w:hAnsi="Times New Roman" w:cs="Times New Roman"/>
                <w:bCs/>
                <w:i/>
                <w:color w:val="000000"/>
                <w:sz w:val="26"/>
                <w:szCs w:val="26"/>
                <w:lang w:val="en-US"/>
              </w:rPr>
              <w:t xml:space="preserve"> giá bán </w:t>
            </w:r>
            <w:r w:rsidRPr="004211DA">
              <w:rPr>
                <w:rFonts w:ascii="Times New Roman" w:eastAsia="Times New Roman" w:hAnsi="Times New Roman" w:cs="Times New Roman"/>
                <w:bCs/>
                <w:i/>
                <w:color w:val="000000"/>
                <w:sz w:val="26"/>
                <w:szCs w:val="26"/>
                <w:u w:val="single"/>
                <w:lang w:val="en-US"/>
              </w:rPr>
              <w:t>lẻ</w:t>
            </w:r>
            <w:r w:rsidRPr="004211DA">
              <w:rPr>
                <w:rFonts w:ascii="Times New Roman" w:eastAsia="Times New Roman" w:hAnsi="Times New Roman" w:cs="Times New Roman"/>
                <w:bCs/>
                <w:i/>
                <w:color w:val="000000"/>
                <w:sz w:val="26"/>
                <w:szCs w:val="26"/>
                <w:lang w:val="en-US"/>
              </w:rPr>
              <w:t xml:space="preserve"> điện bình quân; </w:t>
            </w:r>
            <w:r w:rsidRPr="004211DA">
              <w:rPr>
                <w:rFonts w:ascii="Times New Roman" w:eastAsia="Times New Roman" w:hAnsi="Times New Roman" w:cs="Times New Roman"/>
                <w:bCs/>
                <w:i/>
                <w:color w:val="000000"/>
                <w:sz w:val="26"/>
                <w:szCs w:val="26"/>
                <w:u w:val="single"/>
                <w:lang w:val="en-US"/>
              </w:rPr>
              <w:t>thuyết minh về lợi nhuận định mức</w:t>
            </w:r>
            <w:r w:rsidRPr="004211DA">
              <w:rPr>
                <w:rFonts w:ascii="Times New Roman" w:eastAsia="Times New Roman" w:hAnsi="Times New Roman" w:cs="Times New Roman"/>
                <w:bCs/>
                <w:i/>
                <w:color w:val="000000"/>
                <w:sz w:val="26"/>
                <w:szCs w:val="26"/>
                <w:lang w:val="en-US"/>
              </w:rPr>
              <w:t xml:space="preserve">; </w:t>
            </w:r>
            <w:r w:rsidRPr="004211DA">
              <w:rPr>
                <w:rFonts w:ascii="Times New Roman" w:eastAsia="Times New Roman" w:hAnsi="Times New Roman" w:cs="Times New Roman"/>
                <w:bCs/>
                <w:i/>
                <w:strike/>
                <w:color w:val="000000"/>
                <w:sz w:val="26"/>
                <w:szCs w:val="26"/>
                <w:lang w:val="en-US"/>
              </w:rPr>
              <w:t>báo cáo đánh giá ảnh hưởng của việc điều chỉnh giá điện đến chi phí mua điện của khách hàng sử dụng điện</w:t>
            </w:r>
            <w:r w:rsidRPr="004211DA">
              <w:rPr>
                <w:rFonts w:ascii="Times New Roman" w:eastAsia="Times New Roman" w:hAnsi="Times New Roman" w:cs="Times New Roman"/>
                <w:bCs/>
                <w:i/>
                <w:color w:val="000000"/>
                <w:sz w:val="26"/>
                <w:szCs w:val="26"/>
                <w:lang w:val="en-US"/>
              </w:rPr>
              <w:t>.”</w:t>
            </w:r>
          </w:p>
        </w:tc>
        <w:tc>
          <w:tcPr>
            <w:tcW w:w="4394" w:type="dxa"/>
            <w:shd w:val="clear" w:color="auto" w:fill="auto"/>
            <w:tcMar>
              <w:top w:w="0" w:type="dxa"/>
              <w:left w:w="100" w:type="dxa"/>
              <w:bottom w:w="0" w:type="dxa"/>
              <w:right w:w="100" w:type="dxa"/>
            </w:tcMar>
          </w:tcPr>
          <w:p w14:paraId="4E3941B8" w14:textId="77777777" w:rsidR="004211DA" w:rsidRPr="004211DA" w:rsidRDefault="004211DA" w:rsidP="004211DA">
            <w:pPr>
              <w:spacing w:beforeLines="20" w:before="48" w:afterLines="20" w:after="48" w:line="240" w:lineRule="auto"/>
              <w:jc w:val="both"/>
              <w:rPr>
                <w:rFonts w:ascii="Times New Roman" w:eastAsia="Times New Roman" w:hAnsi="Times New Roman" w:cs="Times New Roman"/>
                <w:sz w:val="26"/>
                <w:szCs w:val="26"/>
                <w:lang w:val="en-US"/>
              </w:rPr>
            </w:pPr>
            <w:r w:rsidRPr="004211DA">
              <w:rPr>
                <w:rFonts w:ascii="Times New Roman" w:eastAsia="Times New Roman" w:hAnsi="Times New Roman" w:cs="Times New Roman"/>
                <w:sz w:val="26"/>
                <w:szCs w:val="26"/>
                <w:lang w:val="en-US"/>
              </w:rPr>
              <w:lastRenderedPageBreak/>
              <w:t xml:space="preserve">Tiếp thu ý kiến góp ý, Bộ Công Thương đã hiệu chỉnh từ ngữ để phù hợp với khung giá, bổ sung </w:t>
            </w:r>
            <w:r w:rsidRPr="004211DA">
              <w:rPr>
                <w:rFonts w:ascii="Times New Roman" w:eastAsia="Times New Roman" w:hAnsi="Times New Roman" w:cs="Times New Roman"/>
                <w:i/>
                <w:sz w:val="26"/>
                <w:szCs w:val="26"/>
                <w:lang w:val="en-US"/>
              </w:rPr>
              <w:t>“thuyết minh về lợi nhuận định mức”</w:t>
            </w:r>
            <w:r w:rsidRPr="004211DA">
              <w:rPr>
                <w:rFonts w:ascii="Times New Roman" w:eastAsia="Times New Roman" w:hAnsi="Times New Roman" w:cs="Times New Roman"/>
                <w:sz w:val="26"/>
                <w:szCs w:val="26"/>
                <w:lang w:val="en-US"/>
              </w:rPr>
              <w:t>, tuy nhiên Bộ Công Thương đề nghị giữ nguyên nội dung về “</w:t>
            </w:r>
            <w:r w:rsidRPr="004211DA">
              <w:rPr>
                <w:rFonts w:ascii="Times New Roman" w:eastAsia="Times New Roman" w:hAnsi="Times New Roman" w:cs="Times New Roman"/>
                <w:bCs/>
                <w:i/>
                <w:color w:val="000000"/>
                <w:sz w:val="26"/>
                <w:szCs w:val="26"/>
                <w:lang w:val="en-US"/>
              </w:rPr>
              <w:t xml:space="preserve">báo cáo đánh giá ảnh hưởng của việc điều chỉnh giá điện đến chi phí mua điện của khách hàng sử dụng điện”, </w:t>
            </w:r>
            <w:r w:rsidRPr="004211DA">
              <w:rPr>
                <w:rFonts w:ascii="Times New Roman" w:eastAsia="Times New Roman" w:hAnsi="Times New Roman" w:cs="Times New Roman"/>
                <w:bCs/>
                <w:color w:val="000000"/>
                <w:sz w:val="26"/>
                <w:szCs w:val="26"/>
                <w:lang w:val="en-US"/>
              </w:rPr>
              <w:t>cụ thể như sau:</w:t>
            </w:r>
          </w:p>
          <w:p w14:paraId="13009B03" w14:textId="059B1394" w:rsidR="004211DA" w:rsidRPr="004211DA" w:rsidRDefault="004211DA" w:rsidP="004211DA">
            <w:pPr>
              <w:widowControl w:val="0"/>
              <w:spacing w:before="60" w:after="60" w:line="300" w:lineRule="exact"/>
              <w:ind w:firstLine="327"/>
              <w:jc w:val="both"/>
              <w:rPr>
                <w:rFonts w:ascii="Times New Roman" w:hAnsi="Times New Roman" w:cs="Times New Roman"/>
                <w:sz w:val="26"/>
                <w:szCs w:val="26"/>
                <w:lang w:val="en-US"/>
              </w:rPr>
            </w:pPr>
            <w:r w:rsidRPr="004211DA">
              <w:rPr>
                <w:rFonts w:ascii="Times New Roman" w:eastAsia="Times New Roman" w:hAnsi="Times New Roman" w:cs="Times New Roman"/>
                <w:bCs/>
                <w:i/>
                <w:color w:val="000000"/>
                <w:sz w:val="26"/>
                <w:szCs w:val="26"/>
                <w:lang w:val="en-US"/>
              </w:rPr>
              <w:t xml:space="preserve">“Các nội dung kèm theo Công văn báo cáo về khung giá của mức giá bán lẻ điện bình quân của Tập đoàn Điện lực Việt Nam bao gồm: nguyên tắc tính toán chi phí từng khâu, trong đó có nguyên tắc dự kiến các thông số đầu vào như tỷ giá ngoại tệ, giá nhiên liệu trong nước </w:t>
            </w:r>
            <w:r w:rsidRPr="004211DA">
              <w:rPr>
                <w:rFonts w:ascii="Times New Roman" w:eastAsia="Times New Roman" w:hAnsi="Times New Roman" w:cs="Times New Roman"/>
                <w:bCs/>
                <w:i/>
                <w:color w:val="000000"/>
                <w:sz w:val="26"/>
                <w:szCs w:val="26"/>
                <w:lang w:val="en-US"/>
              </w:rPr>
              <w:lastRenderedPageBreak/>
              <w:t>và giá nhiên liệu nhập khẩu, cơ cấu sản lượng điện; bảng tổng hợp kết quả tính toán chi phí từng khâu; bảng chi tiết số liệu tính toán chi phí từng khâu; các tài liệu, văn bản sử dụng làm căn cứ, cơ sở trong việc tính toán; thuyết minh các định mức chi phí và các đơn giá được sử dụng trong tính toán chi phí dự kiến của các khâu (nếu có); thuyết minh các chi phí sản xuất kinh doanh điện chưa được tính vào giá bán điện nhưng đã được phân bổ vào giá thành sản xuất kinh doanh điện và số dư còn lại dự kiến phân bổ vào khung giá của mức giá bán lẻ điện bình quân; thuyết minh về lợi nhuận định mức; báo cáo đánh giá ảnh hưởng của việc điều chỉnh giá điện đến chi phí mua điện của khách hàng sử dụng điện.”</w:t>
            </w:r>
          </w:p>
        </w:tc>
      </w:tr>
    </w:tbl>
    <w:p w14:paraId="0D17D26C" w14:textId="77777777" w:rsidR="00FE0F93" w:rsidRPr="00FE0F93" w:rsidRDefault="00FE0F93" w:rsidP="008742A2">
      <w:pPr>
        <w:widowControl w:val="0"/>
        <w:spacing w:before="120" w:after="120" w:line="240" w:lineRule="auto"/>
        <w:ind w:firstLine="567"/>
        <w:jc w:val="center"/>
        <w:rPr>
          <w:rFonts w:ascii="Times New Roman" w:eastAsia="Times New Roman" w:hAnsi="Times New Roman" w:cs="Times New Roman"/>
          <w:b/>
          <w:sz w:val="26"/>
          <w:szCs w:val="26"/>
        </w:rPr>
      </w:pPr>
    </w:p>
    <w:p w14:paraId="0139E447" w14:textId="77777777" w:rsidR="005F4B79" w:rsidRPr="00FE0F93" w:rsidRDefault="005F4B79" w:rsidP="00D10D61">
      <w:pPr>
        <w:widowControl w:val="0"/>
        <w:spacing w:before="120" w:after="120" w:line="240" w:lineRule="auto"/>
        <w:ind w:firstLine="567"/>
        <w:jc w:val="center"/>
        <w:rPr>
          <w:rFonts w:ascii="Times New Roman" w:eastAsia="Times New Roman" w:hAnsi="Times New Roman" w:cs="Times New Roman"/>
          <w:sz w:val="26"/>
          <w:szCs w:val="26"/>
        </w:rPr>
      </w:pPr>
    </w:p>
    <w:sectPr w:rsidR="005F4B79" w:rsidRPr="00FE0F93">
      <w:pgSz w:w="16834" w:h="11909" w:orient="landscape"/>
      <w:pgMar w:top="1134" w:right="1134" w:bottom="1134" w:left="1134" w:header="567" w:footer="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153B8" w14:textId="77777777" w:rsidR="0070598A" w:rsidRDefault="0070598A">
      <w:pPr>
        <w:spacing w:line="240" w:lineRule="auto"/>
      </w:pPr>
      <w:r>
        <w:separator/>
      </w:r>
    </w:p>
  </w:endnote>
  <w:endnote w:type="continuationSeparator" w:id="0">
    <w:p w14:paraId="4B7AE753" w14:textId="77777777" w:rsidR="0070598A" w:rsidRDefault="007059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EAF72" w14:textId="77777777" w:rsidR="0070598A" w:rsidRDefault="0070598A">
      <w:pPr>
        <w:spacing w:line="240" w:lineRule="auto"/>
      </w:pPr>
      <w:r>
        <w:separator/>
      </w:r>
    </w:p>
  </w:footnote>
  <w:footnote w:type="continuationSeparator" w:id="0">
    <w:p w14:paraId="5F6CB065" w14:textId="77777777" w:rsidR="0070598A" w:rsidRDefault="007059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E3274" w14:textId="180C6170" w:rsidR="006767DC" w:rsidRDefault="006767DC">
    <w:pPr>
      <w:pBdr>
        <w:top w:val="nil"/>
        <w:left w:val="nil"/>
        <w:bottom w:val="nil"/>
        <w:right w:val="nil"/>
        <w:between w:val="nil"/>
      </w:pBdr>
      <w:tabs>
        <w:tab w:val="center" w:pos="4680"/>
        <w:tab w:val="right" w:pos="9360"/>
      </w:tabs>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D34680">
      <w:rPr>
        <w:rFonts w:ascii="Times New Roman" w:eastAsia="Times New Roman" w:hAnsi="Times New Roman" w:cs="Times New Roman"/>
        <w:noProof/>
        <w:color w:val="000000"/>
        <w:sz w:val="24"/>
        <w:szCs w:val="24"/>
      </w:rPr>
      <w:t>8</w:t>
    </w:r>
    <w:r>
      <w:rPr>
        <w:rFonts w:ascii="Times New Roman" w:eastAsia="Times New Roman" w:hAnsi="Times New Roman" w:cs="Times New Roman"/>
        <w:color w:val="000000"/>
        <w:sz w:val="24"/>
        <w:szCs w:val="24"/>
      </w:rPr>
      <w:fldChar w:fldCharType="end"/>
    </w:r>
  </w:p>
  <w:p w14:paraId="5D028BBE" w14:textId="77777777" w:rsidR="006767DC" w:rsidRDefault="006767DC">
    <w:pPr>
      <w:rPr>
        <w:rFonts w:ascii="Times New Roman" w:eastAsia="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85767"/>
    <w:multiLevelType w:val="hybridMultilevel"/>
    <w:tmpl w:val="19145C04"/>
    <w:lvl w:ilvl="0" w:tplc="0409000F">
      <w:start w:val="1"/>
      <w:numFmt w:val="decimal"/>
      <w:lvlText w:val="%1."/>
      <w:lvlJc w:val="left"/>
      <w:pPr>
        <w:ind w:left="1287" w:hanging="360"/>
      </w:pPr>
    </w:lvl>
    <w:lvl w:ilvl="1" w:tplc="FFFFFFFF">
      <w:start w:val="4"/>
      <w:numFmt w:val="bullet"/>
      <w:lvlText w:val="-"/>
      <w:lvlJc w:val="left"/>
      <w:pPr>
        <w:ind w:left="2007" w:hanging="360"/>
      </w:pPr>
      <w:rPr>
        <w:rFonts w:ascii="Times New Roman" w:eastAsia="Times New Roman" w:hAnsi="Times New Roman" w:cs="Times New Roman"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 w15:restartNumberingAfterBreak="0">
    <w:nsid w:val="0DF3594E"/>
    <w:multiLevelType w:val="multilevel"/>
    <w:tmpl w:val="8C7CE55C"/>
    <w:lvl w:ilvl="0">
      <w:start w:val="1"/>
      <w:numFmt w:val="lowerLetter"/>
      <w:lvlText w:val="%1)"/>
      <w:lvlJc w:val="left"/>
      <w:pPr>
        <w:ind w:left="683" w:hanging="360"/>
      </w:pPr>
    </w:lvl>
    <w:lvl w:ilvl="1">
      <w:start w:val="1"/>
      <w:numFmt w:val="lowerLetter"/>
      <w:lvlText w:val="%2."/>
      <w:lvlJc w:val="left"/>
      <w:pPr>
        <w:ind w:left="1403" w:hanging="360"/>
      </w:pPr>
    </w:lvl>
    <w:lvl w:ilvl="2">
      <w:start w:val="1"/>
      <w:numFmt w:val="lowerRoman"/>
      <w:lvlText w:val="%3."/>
      <w:lvlJc w:val="right"/>
      <w:pPr>
        <w:ind w:left="2123" w:hanging="180"/>
      </w:pPr>
    </w:lvl>
    <w:lvl w:ilvl="3">
      <w:start w:val="1"/>
      <w:numFmt w:val="decimal"/>
      <w:lvlText w:val="%4."/>
      <w:lvlJc w:val="left"/>
      <w:pPr>
        <w:ind w:left="2843" w:hanging="360"/>
      </w:pPr>
    </w:lvl>
    <w:lvl w:ilvl="4">
      <w:start w:val="1"/>
      <w:numFmt w:val="lowerLetter"/>
      <w:lvlText w:val="%5."/>
      <w:lvlJc w:val="left"/>
      <w:pPr>
        <w:ind w:left="3563" w:hanging="360"/>
      </w:pPr>
    </w:lvl>
    <w:lvl w:ilvl="5">
      <w:start w:val="1"/>
      <w:numFmt w:val="lowerRoman"/>
      <w:lvlText w:val="%6."/>
      <w:lvlJc w:val="right"/>
      <w:pPr>
        <w:ind w:left="4283" w:hanging="180"/>
      </w:pPr>
    </w:lvl>
    <w:lvl w:ilvl="6">
      <w:start w:val="1"/>
      <w:numFmt w:val="decimal"/>
      <w:lvlText w:val="%7."/>
      <w:lvlJc w:val="left"/>
      <w:pPr>
        <w:ind w:left="5003" w:hanging="360"/>
      </w:pPr>
    </w:lvl>
    <w:lvl w:ilvl="7">
      <w:start w:val="1"/>
      <w:numFmt w:val="lowerLetter"/>
      <w:lvlText w:val="%8."/>
      <w:lvlJc w:val="left"/>
      <w:pPr>
        <w:ind w:left="5723" w:hanging="360"/>
      </w:pPr>
    </w:lvl>
    <w:lvl w:ilvl="8">
      <w:start w:val="1"/>
      <w:numFmt w:val="lowerRoman"/>
      <w:lvlText w:val="%9."/>
      <w:lvlJc w:val="right"/>
      <w:pPr>
        <w:ind w:left="6443" w:hanging="180"/>
      </w:pPr>
    </w:lvl>
  </w:abstractNum>
  <w:abstractNum w:abstractNumId="2" w15:restartNumberingAfterBreak="0">
    <w:nsid w:val="12630161"/>
    <w:multiLevelType w:val="multilevel"/>
    <w:tmpl w:val="19F2B0D4"/>
    <w:lvl w:ilvl="0">
      <w:numFmt w:val="bullet"/>
      <w:lvlText w:val="▪"/>
      <w:lvlJc w:val="left"/>
      <w:pPr>
        <w:ind w:left="209" w:hanging="617"/>
      </w:pPr>
      <w:rPr>
        <w:rFonts w:ascii="Times New Roman" w:eastAsia="Times New Roman" w:hAnsi="Times New Roman" w:cs="Times New Roman"/>
        <w:b w:val="0"/>
        <w:i w:val="0"/>
        <w:sz w:val="26"/>
        <w:szCs w:val="26"/>
      </w:rPr>
    </w:lvl>
    <w:lvl w:ilvl="1">
      <w:numFmt w:val="bullet"/>
      <w:lvlText w:val="•"/>
      <w:lvlJc w:val="left"/>
      <w:pPr>
        <w:ind w:left="833" w:hanging="617"/>
      </w:pPr>
    </w:lvl>
    <w:lvl w:ilvl="2">
      <w:numFmt w:val="bullet"/>
      <w:lvlText w:val="•"/>
      <w:lvlJc w:val="left"/>
      <w:pPr>
        <w:ind w:left="1466" w:hanging="617"/>
      </w:pPr>
    </w:lvl>
    <w:lvl w:ilvl="3">
      <w:numFmt w:val="bullet"/>
      <w:lvlText w:val="•"/>
      <w:lvlJc w:val="left"/>
      <w:pPr>
        <w:ind w:left="2099" w:hanging="617"/>
      </w:pPr>
    </w:lvl>
    <w:lvl w:ilvl="4">
      <w:numFmt w:val="bullet"/>
      <w:lvlText w:val="•"/>
      <w:lvlJc w:val="left"/>
      <w:pPr>
        <w:ind w:left="2732" w:hanging="617"/>
      </w:pPr>
    </w:lvl>
    <w:lvl w:ilvl="5">
      <w:numFmt w:val="bullet"/>
      <w:lvlText w:val="•"/>
      <w:lvlJc w:val="left"/>
      <w:pPr>
        <w:ind w:left="3365" w:hanging="617"/>
      </w:pPr>
    </w:lvl>
    <w:lvl w:ilvl="6">
      <w:numFmt w:val="bullet"/>
      <w:lvlText w:val="•"/>
      <w:lvlJc w:val="left"/>
      <w:pPr>
        <w:ind w:left="3998" w:hanging="617"/>
      </w:pPr>
    </w:lvl>
    <w:lvl w:ilvl="7">
      <w:numFmt w:val="bullet"/>
      <w:lvlText w:val="•"/>
      <w:lvlJc w:val="left"/>
      <w:pPr>
        <w:ind w:left="4631" w:hanging="616"/>
      </w:pPr>
    </w:lvl>
    <w:lvl w:ilvl="8">
      <w:numFmt w:val="bullet"/>
      <w:lvlText w:val="•"/>
      <w:lvlJc w:val="left"/>
      <w:pPr>
        <w:ind w:left="5264" w:hanging="617"/>
      </w:pPr>
    </w:lvl>
  </w:abstractNum>
  <w:abstractNum w:abstractNumId="3" w15:restartNumberingAfterBreak="0">
    <w:nsid w:val="15CE2521"/>
    <w:multiLevelType w:val="multilevel"/>
    <w:tmpl w:val="26FABB36"/>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8007CA4"/>
    <w:multiLevelType w:val="multilevel"/>
    <w:tmpl w:val="DC80AFF8"/>
    <w:lvl w:ilvl="0">
      <w:start w:val="2"/>
      <w:numFmt w:val="bullet"/>
      <w:lvlText w:val="-"/>
      <w:lvlJc w:val="left"/>
      <w:pPr>
        <w:ind w:left="682" w:hanging="360"/>
      </w:pPr>
      <w:rPr>
        <w:rFonts w:ascii="Times New Roman" w:eastAsia="Times New Roman" w:hAnsi="Times New Roman" w:cs="Times New Roman"/>
      </w:rPr>
    </w:lvl>
    <w:lvl w:ilvl="1">
      <w:start w:val="1"/>
      <w:numFmt w:val="bullet"/>
      <w:lvlText w:val="o"/>
      <w:lvlJc w:val="left"/>
      <w:pPr>
        <w:ind w:left="1402" w:hanging="360"/>
      </w:pPr>
      <w:rPr>
        <w:rFonts w:ascii="Courier New" w:eastAsia="Courier New" w:hAnsi="Courier New" w:cs="Courier New"/>
      </w:rPr>
    </w:lvl>
    <w:lvl w:ilvl="2">
      <w:start w:val="1"/>
      <w:numFmt w:val="bullet"/>
      <w:lvlText w:val="▪"/>
      <w:lvlJc w:val="left"/>
      <w:pPr>
        <w:ind w:left="2122" w:hanging="360"/>
      </w:pPr>
      <w:rPr>
        <w:rFonts w:ascii="Noto Sans Symbols" w:eastAsia="Noto Sans Symbols" w:hAnsi="Noto Sans Symbols" w:cs="Noto Sans Symbols"/>
      </w:rPr>
    </w:lvl>
    <w:lvl w:ilvl="3">
      <w:start w:val="1"/>
      <w:numFmt w:val="bullet"/>
      <w:lvlText w:val="●"/>
      <w:lvlJc w:val="left"/>
      <w:pPr>
        <w:ind w:left="2842" w:hanging="360"/>
      </w:pPr>
      <w:rPr>
        <w:rFonts w:ascii="Noto Sans Symbols" w:eastAsia="Noto Sans Symbols" w:hAnsi="Noto Sans Symbols" w:cs="Noto Sans Symbols"/>
      </w:rPr>
    </w:lvl>
    <w:lvl w:ilvl="4">
      <w:start w:val="1"/>
      <w:numFmt w:val="bullet"/>
      <w:lvlText w:val="o"/>
      <w:lvlJc w:val="left"/>
      <w:pPr>
        <w:ind w:left="3562" w:hanging="360"/>
      </w:pPr>
      <w:rPr>
        <w:rFonts w:ascii="Courier New" w:eastAsia="Courier New" w:hAnsi="Courier New" w:cs="Courier New"/>
      </w:rPr>
    </w:lvl>
    <w:lvl w:ilvl="5">
      <w:start w:val="1"/>
      <w:numFmt w:val="bullet"/>
      <w:lvlText w:val="▪"/>
      <w:lvlJc w:val="left"/>
      <w:pPr>
        <w:ind w:left="4282" w:hanging="360"/>
      </w:pPr>
      <w:rPr>
        <w:rFonts w:ascii="Noto Sans Symbols" w:eastAsia="Noto Sans Symbols" w:hAnsi="Noto Sans Symbols" w:cs="Noto Sans Symbols"/>
      </w:rPr>
    </w:lvl>
    <w:lvl w:ilvl="6">
      <w:start w:val="1"/>
      <w:numFmt w:val="bullet"/>
      <w:lvlText w:val="●"/>
      <w:lvlJc w:val="left"/>
      <w:pPr>
        <w:ind w:left="5002" w:hanging="360"/>
      </w:pPr>
      <w:rPr>
        <w:rFonts w:ascii="Noto Sans Symbols" w:eastAsia="Noto Sans Symbols" w:hAnsi="Noto Sans Symbols" w:cs="Noto Sans Symbols"/>
      </w:rPr>
    </w:lvl>
    <w:lvl w:ilvl="7">
      <w:start w:val="1"/>
      <w:numFmt w:val="bullet"/>
      <w:lvlText w:val="o"/>
      <w:lvlJc w:val="left"/>
      <w:pPr>
        <w:ind w:left="5722" w:hanging="360"/>
      </w:pPr>
      <w:rPr>
        <w:rFonts w:ascii="Courier New" w:eastAsia="Courier New" w:hAnsi="Courier New" w:cs="Courier New"/>
      </w:rPr>
    </w:lvl>
    <w:lvl w:ilvl="8">
      <w:start w:val="1"/>
      <w:numFmt w:val="bullet"/>
      <w:lvlText w:val="▪"/>
      <w:lvlJc w:val="left"/>
      <w:pPr>
        <w:ind w:left="6442" w:hanging="360"/>
      </w:pPr>
      <w:rPr>
        <w:rFonts w:ascii="Noto Sans Symbols" w:eastAsia="Noto Sans Symbols" w:hAnsi="Noto Sans Symbols" w:cs="Noto Sans Symbols"/>
      </w:rPr>
    </w:lvl>
  </w:abstractNum>
  <w:abstractNum w:abstractNumId="5" w15:restartNumberingAfterBreak="0">
    <w:nsid w:val="1CAB05E8"/>
    <w:multiLevelType w:val="multilevel"/>
    <w:tmpl w:val="9FC86992"/>
    <w:lvl w:ilvl="0">
      <w:start w:val="1"/>
      <w:numFmt w:val="lowerRoman"/>
      <w:lvlText w:val="(%1)"/>
      <w:lvlJc w:val="left"/>
      <w:pPr>
        <w:ind w:left="1004" w:hanging="72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1CE23983"/>
    <w:multiLevelType w:val="multilevel"/>
    <w:tmpl w:val="1FD6B0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0C50AF"/>
    <w:multiLevelType w:val="multilevel"/>
    <w:tmpl w:val="E6ACF89C"/>
    <w:lvl w:ilvl="0">
      <w:start w:val="1"/>
      <w:numFmt w:val="decimal"/>
      <w:lvlText w:val="%1."/>
      <w:lvlJc w:val="left"/>
      <w:pPr>
        <w:ind w:left="1287" w:hanging="360"/>
      </w:pPr>
      <w:rPr>
        <w:sz w:val="28"/>
        <w:szCs w:val="28"/>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21B96AE7"/>
    <w:multiLevelType w:val="hybridMultilevel"/>
    <w:tmpl w:val="574A4B64"/>
    <w:lvl w:ilvl="0" w:tplc="6EFC3A2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A01C9A"/>
    <w:multiLevelType w:val="multilevel"/>
    <w:tmpl w:val="E660AA2E"/>
    <w:lvl w:ilvl="0">
      <w:start w:val="2"/>
      <w:numFmt w:val="bullet"/>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0" w15:restartNumberingAfterBreak="0">
    <w:nsid w:val="273B33EE"/>
    <w:multiLevelType w:val="multilevel"/>
    <w:tmpl w:val="FAE24396"/>
    <w:lvl w:ilvl="0">
      <w:start w:val="1"/>
      <w:numFmt w:val="decimal"/>
      <w:lvlText w:val="%1."/>
      <w:lvlJc w:val="left"/>
      <w:pPr>
        <w:ind w:left="5039" w:hanging="360"/>
      </w:pPr>
      <w:rPr>
        <w:color w:val="000000"/>
      </w:rPr>
    </w:lvl>
    <w:lvl w:ilvl="1">
      <w:start w:val="1"/>
      <w:numFmt w:val="lowerLetter"/>
      <w:lvlText w:val="%2."/>
      <w:lvlJc w:val="left"/>
      <w:pPr>
        <w:ind w:left="2136" w:hanging="360"/>
      </w:pPr>
    </w:lvl>
    <w:lvl w:ilvl="2">
      <w:start w:val="1"/>
      <w:numFmt w:val="lowerRoman"/>
      <w:lvlText w:val="%3."/>
      <w:lvlJc w:val="right"/>
      <w:pPr>
        <w:ind w:left="2856" w:hanging="180"/>
      </w:pPr>
    </w:lvl>
    <w:lvl w:ilvl="3">
      <w:start w:val="1"/>
      <w:numFmt w:val="decimal"/>
      <w:lvlText w:val="%4."/>
      <w:lvlJc w:val="left"/>
      <w:pPr>
        <w:ind w:left="3576" w:hanging="360"/>
      </w:pPr>
    </w:lvl>
    <w:lvl w:ilvl="4">
      <w:start w:val="1"/>
      <w:numFmt w:val="lowerLetter"/>
      <w:lvlText w:val="%5."/>
      <w:lvlJc w:val="left"/>
      <w:pPr>
        <w:ind w:left="4296" w:hanging="360"/>
      </w:pPr>
    </w:lvl>
    <w:lvl w:ilvl="5">
      <w:start w:val="1"/>
      <w:numFmt w:val="lowerRoman"/>
      <w:lvlText w:val="%6."/>
      <w:lvlJc w:val="right"/>
      <w:pPr>
        <w:ind w:left="5016" w:hanging="180"/>
      </w:pPr>
    </w:lvl>
    <w:lvl w:ilvl="6">
      <w:start w:val="1"/>
      <w:numFmt w:val="decimal"/>
      <w:lvlText w:val="%7."/>
      <w:lvlJc w:val="left"/>
      <w:pPr>
        <w:ind w:left="5736" w:hanging="360"/>
      </w:pPr>
    </w:lvl>
    <w:lvl w:ilvl="7">
      <w:start w:val="1"/>
      <w:numFmt w:val="lowerLetter"/>
      <w:lvlText w:val="%8."/>
      <w:lvlJc w:val="left"/>
      <w:pPr>
        <w:ind w:left="6456" w:hanging="360"/>
      </w:pPr>
    </w:lvl>
    <w:lvl w:ilvl="8">
      <w:start w:val="1"/>
      <w:numFmt w:val="lowerRoman"/>
      <w:lvlText w:val="%9."/>
      <w:lvlJc w:val="right"/>
      <w:pPr>
        <w:ind w:left="7176" w:hanging="180"/>
      </w:pPr>
    </w:lvl>
  </w:abstractNum>
  <w:abstractNum w:abstractNumId="11" w15:restartNumberingAfterBreak="0">
    <w:nsid w:val="31A002F4"/>
    <w:multiLevelType w:val="multilevel"/>
    <w:tmpl w:val="05C6BA84"/>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EF3D74"/>
    <w:multiLevelType w:val="multilevel"/>
    <w:tmpl w:val="805A8444"/>
    <w:lvl w:ilvl="0">
      <w:numFmt w:val="bullet"/>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3" w15:restartNumberingAfterBreak="0">
    <w:nsid w:val="3A36613E"/>
    <w:multiLevelType w:val="multilevel"/>
    <w:tmpl w:val="B3F2D49A"/>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D91190E"/>
    <w:multiLevelType w:val="multilevel"/>
    <w:tmpl w:val="D834CBF0"/>
    <w:lvl w:ilvl="0">
      <w:start w:val="11"/>
      <w:numFmt w:val="bullet"/>
      <w:lvlText w:val="-"/>
      <w:lvlJc w:val="left"/>
      <w:pPr>
        <w:ind w:left="680" w:hanging="360"/>
      </w:pPr>
      <w:rPr>
        <w:rFonts w:ascii="Times New Roman" w:eastAsia="Times New Roman" w:hAnsi="Times New Roman" w:cs="Times New Roman"/>
      </w:rPr>
    </w:lvl>
    <w:lvl w:ilvl="1">
      <w:start w:val="1"/>
      <w:numFmt w:val="bullet"/>
      <w:lvlText w:val="o"/>
      <w:lvlJc w:val="left"/>
      <w:pPr>
        <w:ind w:left="1400" w:hanging="360"/>
      </w:pPr>
      <w:rPr>
        <w:rFonts w:ascii="Courier New" w:eastAsia="Courier New" w:hAnsi="Courier New" w:cs="Courier New"/>
      </w:rPr>
    </w:lvl>
    <w:lvl w:ilvl="2">
      <w:start w:val="1"/>
      <w:numFmt w:val="bullet"/>
      <w:lvlText w:val="▪"/>
      <w:lvlJc w:val="left"/>
      <w:pPr>
        <w:ind w:left="2120" w:hanging="360"/>
      </w:pPr>
      <w:rPr>
        <w:rFonts w:ascii="Noto Sans Symbols" w:eastAsia="Noto Sans Symbols" w:hAnsi="Noto Sans Symbols" w:cs="Noto Sans Symbols"/>
      </w:rPr>
    </w:lvl>
    <w:lvl w:ilvl="3">
      <w:start w:val="1"/>
      <w:numFmt w:val="bullet"/>
      <w:lvlText w:val="●"/>
      <w:lvlJc w:val="left"/>
      <w:pPr>
        <w:ind w:left="2840" w:hanging="360"/>
      </w:pPr>
      <w:rPr>
        <w:rFonts w:ascii="Noto Sans Symbols" w:eastAsia="Noto Sans Symbols" w:hAnsi="Noto Sans Symbols" w:cs="Noto Sans Symbols"/>
      </w:rPr>
    </w:lvl>
    <w:lvl w:ilvl="4">
      <w:start w:val="1"/>
      <w:numFmt w:val="bullet"/>
      <w:lvlText w:val="o"/>
      <w:lvlJc w:val="left"/>
      <w:pPr>
        <w:ind w:left="3560" w:hanging="360"/>
      </w:pPr>
      <w:rPr>
        <w:rFonts w:ascii="Courier New" w:eastAsia="Courier New" w:hAnsi="Courier New" w:cs="Courier New"/>
      </w:rPr>
    </w:lvl>
    <w:lvl w:ilvl="5">
      <w:start w:val="1"/>
      <w:numFmt w:val="bullet"/>
      <w:lvlText w:val="▪"/>
      <w:lvlJc w:val="left"/>
      <w:pPr>
        <w:ind w:left="4280" w:hanging="360"/>
      </w:pPr>
      <w:rPr>
        <w:rFonts w:ascii="Noto Sans Symbols" w:eastAsia="Noto Sans Symbols" w:hAnsi="Noto Sans Symbols" w:cs="Noto Sans Symbols"/>
      </w:rPr>
    </w:lvl>
    <w:lvl w:ilvl="6">
      <w:start w:val="1"/>
      <w:numFmt w:val="bullet"/>
      <w:lvlText w:val="●"/>
      <w:lvlJc w:val="left"/>
      <w:pPr>
        <w:ind w:left="5000" w:hanging="360"/>
      </w:pPr>
      <w:rPr>
        <w:rFonts w:ascii="Noto Sans Symbols" w:eastAsia="Noto Sans Symbols" w:hAnsi="Noto Sans Symbols" w:cs="Noto Sans Symbols"/>
      </w:rPr>
    </w:lvl>
    <w:lvl w:ilvl="7">
      <w:start w:val="1"/>
      <w:numFmt w:val="bullet"/>
      <w:lvlText w:val="o"/>
      <w:lvlJc w:val="left"/>
      <w:pPr>
        <w:ind w:left="5720" w:hanging="360"/>
      </w:pPr>
      <w:rPr>
        <w:rFonts w:ascii="Courier New" w:eastAsia="Courier New" w:hAnsi="Courier New" w:cs="Courier New"/>
      </w:rPr>
    </w:lvl>
    <w:lvl w:ilvl="8">
      <w:start w:val="1"/>
      <w:numFmt w:val="bullet"/>
      <w:lvlText w:val="▪"/>
      <w:lvlJc w:val="left"/>
      <w:pPr>
        <w:ind w:left="6440" w:hanging="360"/>
      </w:pPr>
      <w:rPr>
        <w:rFonts w:ascii="Noto Sans Symbols" w:eastAsia="Noto Sans Symbols" w:hAnsi="Noto Sans Symbols" w:cs="Noto Sans Symbols"/>
      </w:rPr>
    </w:lvl>
  </w:abstractNum>
  <w:abstractNum w:abstractNumId="15" w15:restartNumberingAfterBreak="0">
    <w:nsid w:val="457967F1"/>
    <w:multiLevelType w:val="multilevel"/>
    <w:tmpl w:val="AC06FED6"/>
    <w:lvl w:ilvl="0">
      <w:start w:val="1"/>
      <w:numFmt w:val="decimal"/>
      <w:lvlText w:val="(%1)"/>
      <w:lvlJc w:val="left"/>
      <w:pPr>
        <w:ind w:left="683" w:hanging="360"/>
      </w:pPr>
    </w:lvl>
    <w:lvl w:ilvl="1">
      <w:start w:val="1"/>
      <w:numFmt w:val="lowerLetter"/>
      <w:lvlText w:val="%2."/>
      <w:lvlJc w:val="left"/>
      <w:pPr>
        <w:ind w:left="1403" w:hanging="360"/>
      </w:pPr>
    </w:lvl>
    <w:lvl w:ilvl="2">
      <w:start w:val="1"/>
      <w:numFmt w:val="lowerRoman"/>
      <w:lvlText w:val="%3."/>
      <w:lvlJc w:val="right"/>
      <w:pPr>
        <w:ind w:left="2123" w:hanging="180"/>
      </w:pPr>
    </w:lvl>
    <w:lvl w:ilvl="3">
      <w:start w:val="1"/>
      <w:numFmt w:val="decimal"/>
      <w:lvlText w:val="%4."/>
      <w:lvlJc w:val="left"/>
      <w:pPr>
        <w:ind w:left="2843" w:hanging="360"/>
      </w:pPr>
    </w:lvl>
    <w:lvl w:ilvl="4">
      <w:start w:val="1"/>
      <w:numFmt w:val="lowerLetter"/>
      <w:lvlText w:val="%5."/>
      <w:lvlJc w:val="left"/>
      <w:pPr>
        <w:ind w:left="3563" w:hanging="360"/>
      </w:pPr>
    </w:lvl>
    <w:lvl w:ilvl="5">
      <w:start w:val="1"/>
      <w:numFmt w:val="lowerRoman"/>
      <w:lvlText w:val="%6."/>
      <w:lvlJc w:val="right"/>
      <w:pPr>
        <w:ind w:left="4283" w:hanging="180"/>
      </w:pPr>
    </w:lvl>
    <w:lvl w:ilvl="6">
      <w:start w:val="1"/>
      <w:numFmt w:val="decimal"/>
      <w:lvlText w:val="%7."/>
      <w:lvlJc w:val="left"/>
      <w:pPr>
        <w:ind w:left="5003" w:hanging="360"/>
      </w:pPr>
    </w:lvl>
    <w:lvl w:ilvl="7">
      <w:start w:val="1"/>
      <w:numFmt w:val="lowerLetter"/>
      <w:lvlText w:val="%8."/>
      <w:lvlJc w:val="left"/>
      <w:pPr>
        <w:ind w:left="5723" w:hanging="360"/>
      </w:pPr>
    </w:lvl>
    <w:lvl w:ilvl="8">
      <w:start w:val="1"/>
      <w:numFmt w:val="lowerRoman"/>
      <w:lvlText w:val="%9."/>
      <w:lvlJc w:val="right"/>
      <w:pPr>
        <w:ind w:left="6443" w:hanging="180"/>
      </w:pPr>
    </w:lvl>
  </w:abstractNum>
  <w:abstractNum w:abstractNumId="16" w15:restartNumberingAfterBreak="0">
    <w:nsid w:val="47484F07"/>
    <w:multiLevelType w:val="multilevel"/>
    <w:tmpl w:val="2E689796"/>
    <w:lvl w:ilvl="0">
      <w:start w:val="1"/>
      <w:numFmt w:val="decimal"/>
      <w:lvlText w:val="(%1)"/>
      <w:lvlJc w:val="left"/>
      <w:pPr>
        <w:ind w:left="0" w:firstLine="0"/>
      </w:pPr>
      <w:rPr>
        <w:highlight w:val="cy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47C75BA3"/>
    <w:multiLevelType w:val="multilevel"/>
    <w:tmpl w:val="6DB05B1A"/>
    <w:lvl w:ilvl="0">
      <w:start w:val="11"/>
      <w:numFmt w:val="bullet"/>
      <w:lvlText w:val="-"/>
      <w:lvlJc w:val="left"/>
      <w:pPr>
        <w:ind w:left="680" w:hanging="360"/>
      </w:pPr>
      <w:rPr>
        <w:rFonts w:ascii="Times New Roman" w:eastAsia="Times New Roman" w:hAnsi="Times New Roman" w:cs="Times New Roman"/>
      </w:rPr>
    </w:lvl>
    <w:lvl w:ilvl="1">
      <w:start w:val="1"/>
      <w:numFmt w:val="bullet"/>
      <w:lvlText w:val="o"/>
      <w:lvlJc w:val="left"/>
      <w:pPr>
        <w:ind w:left="1400" w:hanging="360"/>
      </w:pPr>
      <w:rPr>
        <w:rFonts w:ascii="Courier New" w:eastAsia="Courier New" w:hAnsi="Courier New" w:cs="Courier New"/>
      </w:rPr>
    </w:lvl>
    <w:lvl w:ilvl="2">
      <w:start w:val="1"/>
      <w:numFmt w:val="bullet"/>
      <w:lvlText w:val="▪"/>
      <w:lvlJc w:val="left"/>
      <w:pPr>
        <w:ind w:left="2120" w:hanging="360"/>
      </w:pPr>
      <w:rPr>
        <w:rFonts w:ascii="Noto Sans Symbols" w:eastAsia="Noto Sans Symbols" w:hAnsi="Noto Sans Symbols" w:cs="Noto Sans Symbols"/>
      </w:rPr>
    </w:lvl>
    <w:lvl w:ilvl="3">
      <w:start w:val="1"/>
      <w:numFmt w:val="bullet"/>
      <w:lvlText w:val="●"/>
      <w:lvlJc w:val="left"/>
      <w:pPr>
        <w:ind w:left="2840" w:hanging="360"/>
      </w:pPr>
      <w:rPr>
        <w:rFonts w:ascii="Noto Sans Symbols" w:eastAsia="Noto Sans Symbols" w:hAnsi="Noto Sans Symbols" w:cs="Noto Sans Symbols"/>
      </w:rPr>
    </w:lvl>
    <w:lvl w:ilvl="4">
      <w:start w:val="1"/>
      <w:numFmt w:val="bullet"/>
      <w:lvlText w:val="o"/>
      <w:lvlJc w:val="left"/>
      <w:pPr>
        <w:ind w:left="3560" w:hanging="360"/>
      </w:pPr>
      <w:rPr>
        <w:rFonts w:ascii="Courier New" w:eastAsia="Courier New" w:hAnsi="Courier New" w:cs="Courier New"/>
      </w:rPr>
    </w:lvl>
    <w:lvl w:ilvl="5">
      <w:start w:val="1"/>
      <w:numFmt w:val="bullet"/>
      <w:lvlText w:val="▪"/>
      <w:lvlJc w:val="left"/>
      <w:pPr>
        <w:ind w:left="4280" w:hanging="360"/>
      </w:pPr>
      <w:rPr>
        <w:rFonts w:ascii="Noto Sans Symbols" w:eastAsia="Noto Sans Symbols" w:hAnsi="Noto Sans Symbols" w:cs="Noto Sans Symbols"/>
      </w:rPr>
    </w:lvl>
    <w:lvl w:ilvl="6">
      <w:start w:val="1"/>
      <w:numFmt w:val="bullet"/>
      <w:lvlText w:val="●"/>
      <w:lvlJc w:val="left"/>
      <w:pPr>
        <w:ind w:left="5000" w:hanging="360"/>
      </w:pPr>
      <w:rPr>
        <w:rFonts w:ascii="Noto Sans Symbols" w:eastAsia="Noto Sans Symbols" w:hAnsi="Noto Sans Symbols" w:cs="Noto Sans Symbols"/>
      </w:rPr>
    </w:lvl>
    <w:lvl w:ilvl="7">
      <w:start w:val="1"/>
      <w:numFmt w:val="bullet"/>
      <w:lvlText w:val="o"/>
      <w:lvlJc w:val="left"/>
      <w:pPr>
        <w:ind w:left="5720" w:hanging="360"/>
      </w:pPr>
      <w:rPr>
        <w:rFonts w:ascii="Courier New" w:eastAsia="Courier New" w:hAnsi="Courier New" w:cs="Courier New"/>
      </w:rPr>
    </w:lvl>
    <w:lvl w:ilvl="8">
      <w:start w:val="1"/>
      <w:numFmt w:val="bullet"/>
      <w:lvlText w:val="▪"/>
      <w:lvlJc w:val="left"/>
      <w:pPr>
        <w:ind w:left="6440" w:hanging="360"/>
      </w:pPr>
      <w:rPr>
        <w:rFonts w:ascii="Noto Sans Symbols" w:eastAsia="Noto Sans Symbols" w:hAnsi="Noto Sans Symbols" w:cs="Noto Sans Symbols"/>
      </w:rPr>
    </w:lvl>
  </w:abstractNum>
  <w:abstractNum w:abstractNumId="18" w15:restartNumberingAfterBreak="0">
    <w:nsid w:val="489A7D3B"/>
    <w:multiLevelType w:val="multilevel"/>
    <w:tmpl w:val="0BAE8E82"/>
    <w:lvl w:ilvl="0">
      <w:start w:val="1"/>
      <w:numFmt w:val="decimal"/>
      <w:lvlText w:val="%1."/>
      <w:lvlJc w:val="left"/>
      <w:pPr>
        <w:ind w:left="927" w:hanging="360"/>
      </w:pPr>
      <w:rPr>
        <w:b w:val="0"/>
        <w:i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4BC34F1D"/>
    <w:multiLevelType w:val="multilevel"/>
    <w:tmpl w:val="90C8EBDA"/>
    <w:lvl w:ilvl="0">
      <w:numFmt w:val="bullet"/>
      <w:lvlText w:val="•"/>
      <w:lvlJc w:val="left"/>
      <w:pPr>
        <w:ind w:left="106" w:hanging="171"/>
      </w:pPr>
      <w:rPr>
        <w:rFonts w:ascii="Times New Roman" w:eastAsia="Times New Roman" w:hAnsi="Times New Roman" w:cs="Times New Roman"/>
        <w:b w:val="0"/>
        <w:i w:val="0"/>
        <w:sz w:val="26"/>
        <w:szCs w:val="26"/>
      </w:rPr>
    </w:lvl>
    <w:lvl w:ilvl="1">
      <w:numFmt w:val="bullet"/>
      <w:lvlText w:val="-"/>
      <w:lvlJc w:val="left"/>
      <w:pPr>
        <w:ind w:left="826" w:hanging="140"/>
      </w:pPr>
      <w:rPr>
        <w:rFonts w:ascii="Times New Roman" w:eastAsia="Times New Roman" w:hAnsi="Times New Roman" w:cs="Times New Roman"/>
        <w:b w:val="0"/>
        <w:i w:val="0"/>
        <w:sz w:val="26"/>
        <w:szCs w:val="26"/>
      </w:rPr>
    </w:lvl>
    <w:lvl w:ilvl="2">
      <w:numFmt w:val="bullet"/>
      <w:lvlText w:val="•"/>
      <w:lvlJc w:val="left"/>
      <w:pPr>
        <w:ind w:left="1331" w:hanging="140"/>
      </w:pPr>
    </w:lvl>
    <w:lvl w:ilvl="3">
      <w:numFmt w:val="bullet"/>
      <w:lvlText w:val="•"/>
      <w:lvlJc w:val="left"/>
      <w:pPr>
        <w:ind w:left="1842" w:hanging="140"/>
      </w:pPr>
    </w:lvl>
    <w:lvl w:ilvl="4">
      <w:numFmt w:val="bullet"/>
      <w:lvlText w:val="•"/>
      <w:lvlJc w:val="left"/>
      <w:pPr>
        <w:ind w:left="2353" w:hanging="140"/>
      </w:pPr>
    </w:lvl>
    <w:lvl w:ilvl="5">
      <w:numFmt w:val="bullet"/>
      <w:lvlText w:val="•"/>
      <w:lvlJc w:val="left"/>
      <w:pPr>
        <w:ind w:left="2864" w:hanging="140"/>
      </w:pPr>
    </w:lvl>
    <w:lvl w:ilvl="6">
      <w:numFmt w:val="bullet"/>
      <w:lvlText w:val="•"/>
      <w:lvlJc w:val="left"/>
      <w:pPr>
        <w:ind w:left="3375" w:hanging="140"/>
      </w:pPr>
    </w:lvl>
    <w:lvl w:ilvl="7">
      <w:numFmt w:val="bullet"/>
      <w:lvlText w:val="•"/>
      <w:lvlJc w:val="left"/>
      <w:pPr>
        <w:ind w:left="3886" w:hanging="140"/>
      </w:pPr>
    </w:lvl>
    <w:lvl w:ilvl="8">
      <w:numFmt w:val="bullet"/>
      <w:lvlText w:val="•"/>
      <w:lvlJc w:val="left"/>
      <w:pPr>
        <w:ind w:left="4397" w:hanging="140"/>
      </w:pPr>
    </w:lvl>
  </w:abstractNum>
  <w:abstractNum w:abstractNumId="20" w15:restartNumberingAfterBreak="0">
    <w:nsid w:val="54423205"/>
    <w:multiLevelType w:val="multilevel"/>
    <w:tmpl w:val="61E28D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52E0C67"/>
    <w:multiLevelType w:val="multilevel"/>
    <w:tmpl w:val="EF089452"/>
    <w:lvl w:ilvl="0">
      <w:numFmt w:val="bullet"/>
      <w:lvlText w:val="-"/>
      <w:lvlJc w:val="left"/>
      <w:pPr>
        <w:ind w:left="683" w:hanging="360"/>
      </w:pPr>
      <w:rPr>
        <w:rFonts w:ascii="Times New Roman" w:eastAsia="Times New Roman" w:hAnsi="Times New Roman" w:cs="Times New Roman"/>
        <w:color w:val="081C36"/>
        <w:sz w:val="28"/>
        <w:szCs w:val="28"/>
      </w:rPr>
    </w:lvl>
    <w:lvl w:ilvl="1">
      <w:start w:val="1"/>
      <w:numFmt w:val="bullet"/>
      <w:lvlText w:val="o"/>
      <w:lvlJc w:val="left"/>
      <w:pPr>
        <w:ind w:left="1403" w:hanging="360"/>
      </w:pPr>
      <w:rPr>
        <w:rFonts w:ascii="Courier New" w:eastAsia="Courier New" w:hAnsi="Courier New" w:cs="Courier New"/>
      </w:rPr>
    </w:lvl>
    <w:lvl w:ilvl="2">
      <w:start w:val="1"/>
      <w:numFmt w:val="bullet"/>
      <w:lvlText w:val="▪"/>
      <w:lvlJc w:val="left"/>
      <w:pPr>
        <w:ind w:left="2123" w:hanging="360"/>
      </w:pPr>
      <w:rPr>
        <w:rFonts w:ascii="Noto Sans Symbols" w:eastAsia="Noto Sans Symbols" w:hAnsi="Noto Sans Symbols" w:cs="Noto Sans Symbols"/>
      </w:rPr>
    </w:lvl>
    <w:lvl w:ilvl="3">
      <w:start w:val="1"/>
      <w:numFmt w:val="bullet"/>
      <w:lvlText w:val="●"/>
      <w:lvlJc w:val="left"/>
      <w:pPr>
        <w:ind w:left="2843" w:hanging="360"/>
      </w:pPr>
      <w:rPr>
        <w:rFonts w:ascii="Noto Sans Symbols" w:eastAsia="Noto Sans Symbols" w:hAnsi="Noto Sans Symbols" w:cs="Noto Sans Symbols"/>
      </w:rPr>
    </w:lvl>
    <w:lvl w:ilvl="4">
      <w:start w:val="1"/>
      <w:numFmt w:val="bullet"/>
      <w:lvlText w:val="o"/>
      <w:lvlJc w:val="left"/>
      <w:pPr>
        <w:ind w:left="3563" w:hanging="360"/>
      </w:pPr>
      <w:rPr>
        <w:rFonts w:ascii="Courier New" w:eastAsia="Courier New" w:hAnsi="Courier New" w:cs="Courier New"/>
      </w:rPr>
    </w:lvl>
    <w:lvl w:ilvl="5">
      <w:start w:val="1"/>
      <w:numFmt w:val="bullet"/>
      <w:lvlText w:val="▪"/>
      <w:lvlJc w:val="left"/>
      <w:pPr>
        <w:ind w:left="4283" w:hanging="360"/>
      </w:pPr>
      <w:rPr>
        <w:rFonts w:ascii="Noto Sans Symbols" w:eastAsia="Noto Sans Symbols" w:hAnsi="Noto Sans Symbols" w:cs="Noto Sans Symbols"/>
      </w:rPr>
    </w:lvl>
    <w:lvl w:ilvl="6">
      <w:start w:val="1"/>
      <w:numFmt w:val="bullet"/>
      <w:lvlText w:val="●"/>
      <w:lvlJc w:val="left"/>
      <w:pPr>
        <w:ind w:left="5003" w:hanging="360"/>
      </w:pPr>
      <w:rPr>
        <w:rFonts w:ascii="Noto Sans Symbols" w:eastAsia="Noto Sans Symbols" w:hAnsi="Noto Sans Symbols" w:cs="Noto Sans Symbols"/>
      </w:rPr>
    </w:lvl>
    <w:lvl w:ilvl="7">
      <w:start w:val="1"/>
      <w:numFmt w:val="bullet"/>
      <w:lvlText w:val="o"/>
      <w:lvlJc w:val="left"/>
      <w:pPr>
        <w:ind w:left="5723" w:hanging="360"/>
      </w:pPr>
      <w:rPr>
        <w:rFonts w:ascii="Courier New" w:eastAsia="Courier New" w:hAnsi="Courier New" w:cs="Courier New"/>
      </w:rPr>
    </w:lvl>
    <w:lvl w:ilvl="8">
      <w:start w:val="1"/>
      <w:numFmt w:val="bullet"/>
      <w:lvlText w:val="▪"/>
      <w:lvlJc w:val="left"/>
      <w:pPr>
        <w:ind w:left="6443" w:hanging="360"/>
      </w:pPr>
      <w:rPr>
        <w:rFonts w:ascii="Noto Sans Symbols" w:eastAsia="Noto Sans Symbols" w:hAnsi="Noto Sans Symbols" w:cs="Noto Sans Symbols"/>
      </w:rPr>
    </w:lvl>
  </w:abstractNum>
  <w:abstractNum w:abstractNumId="22" w15:restartNumberingAfterBreak="0">
    <w:nsid w:val="56FE087D"/>
    <w:multiLevelType w:val="multilevel"/>
    <w:tmpl w:val="C30083A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5A5C48E8"/>
    <w:multiLevelType w:val="hybridMultilevel"/>
    <w:tmpl w:val="5352F30C"/>
    <w:lvl w:ilvl="0" w:tplc="6E46FAD0">
      <w:start w:val="1"/>
      <w:numFmt w:val="decimal"/>
      <w:lvlText w:val="Điều %1."/>
      <w:lvlJc w:val="left"/>
      <w:pPr>
        <w:ind w:left="1353" w:hanging="360"/>
      </w:pPr>
      <w:rPr>
        <w:rFonts w:ascii="Times New Roman" w:hAnsi="Times New Roman" w:hint="default"/>
        <w:b/>
        <w:i w:val="0"/>
        <w:sz w:val="28"/>
      </w:rPr>
    </w:lvl>
    <w:lvl w:ilvl="1" w:tplc="04090019">
      <w:start w:val="1"/>
      <w:numFmt w:val="lowerLetter"/>
      <w:lvlText w:val="%2."/>
      <w:lvlJc w:val="left"/>
      <w:pPr>
        <w:ind w:left="-970" w:hanging="360"/>
      </w:pPr>
    </w:lvl>
    <w:lvl w:ilvl="2" w:tplc="0409001B" w:tentative="1">
      <w:start w:val="1"/>
      <w:numFmt w:val="lowerRoman"/>
      <w:lvlText w:val="%3."/>
      <w:lvlJc w:val="right"/>
      <w:pPr>
        <w:ind w:left="-250" w:hanging="180"/>
      </w:pPr>
    </w:lvl>
    <w:lvl w:ilvl="3" w:tplc="0409000F" w:tentative="1">
      <w:start w:val="1"/>
      <w:numFmt w:val="decimal"/>
      <w:lvlText w:val="%4."/>
      <w:lvlJc w:val="left"/>
      <w:pPr>
        <w:ind w:left="470" w:hanging="360"/>
      </w:pPr>
    </w:lvl>
    <w:lvl w:ilvl="4" w:tplc="04090019" w:tentative="1">
      <w:start w:val="1"/>
      <w:numFmt w:val="lowerLetter"/>
      <w:lvlText w:val="%5."/>
      <w:lvlJc w:val="left"/>
      <w:pPr>
        <w:ind w:left="1190" w:hanging="360"/>
      </w:pPr>
    </w:lvl>
    <w:lvl w:ilvl="5" w:tplc="0409001B" w:tentative="1">
      <w:start w:val="1"/>
      <w:numFmt w:val="lowerRoman"/>
      <w:lvlText w:val="%6."/>
      <w:lvlJc w:val="right"/>
      <w:pPr>
        <w:ind w:left="1910" w:hanging="180"/>
      </w:pPr>
    </w:lvl>
    <w:lvl w:ilvl="6" w:tplc="0409000F" w:tentative="1">
      <w:start w:val="1"/>
      <w:numFmt w:val="decimal"/>
      <w:lvlText w:val="%7."/>
      <w:lvlJc w:val="left"/>
      <w:pPr>
        <w:ind w:left="2630" w:hanging="360"/>
      </w:pPr>
    </w:lvl>
    <w:lvl w:ilvl="7" w:tplc="04090019" w:tentative="1">
      <w:start w:val="1"/>
      <w:numFmt w:val="lowerLetter"/>
      <w:lvlText w:val="%8."/>
      <w:lvlJc w:val="left"/>
      <w:pPr>
        <w:ind w:left="3350" w:hanging="360"/>
      </w:pPr>
    </w:lvl>
    <w:lvl w:ilvl="8" w:tplc="0409001B" w:tentative="1">
      <w:start w:val="1"/>
      <w:numFmt w:val="lowerRoman"/>
      <w:lvlText w:val="%9."/>
      <w:lvlJc w:val="right"/>
      <w:pPr>
        <w:ind w:left="4070" w:hanging="180"/>
      </w:pPr>
    </w:lvl>
  </w:abstractNum>
  <w:abstractNum w:abstractNumId="24" w15:restartNumberingAfterBreak="0">
    <w:nsid w:val="60E31F51"/>
    <w:multiLevelType w:val="multilevel"/>
    <w:tmpl w:val="186674B8"/>
    <w:lvl w:ilvl="0">
      <w:start w:val="1"/>
      <w:numFmt w:val="decimal"/>
      <w:lvlText w:val="%1."/>
      <w:lvlJc w:val="left"/>
      <w:pPr>
        <w:ind w:left="644" w:hanging="359"/>
      </w:pPr>
      <w:rPr>
        <w:b w:val="0"/>
        <w:i w:val="0"/>
        <w:vertAlign w:val="baseline"/>
      </w:rPr>
    </w:lvl>
    <w:lvl w:ilvl="1">
      <w:start w:val="1"/>
      <w:numFmt w:val="lowerLetter"/>
      <w:lvlText w:val="%2."/>
      <w:lvlJc w:val="left"/>
      <w:pPr>
        <w:ind w:left="1684" w:hanging="360"/>
      </w:pPr>
    </w:lvl>
    <w:lvl w:ilvl="2">
      <w:start w:val="1"/>
      <w:numFmt w:val="lowerRoman"/>
      <w:lvlText w:val="%3."/>
      <w:lvlJc w:val="right"/>
      <w:pPr>
        <w:ind w:left="2404" w:hanging="180"/>
      </w:pPr>
    </w:lvl>
    <w:lvl w:ilvl="3">
      <w:start w:val="1"/>
      <w:numFmt w:val="decimal"/>
      <w:lvlText w:val="%4."/>
      <w:lvlJc w:val="left"/>
      <w:pPr>
        <w:ind w:left="3124" w:hanging="360"/>
      </w:pPr>
    </w:lvl>
    <w:lvl w:ilvl="4">
      <w:start w:val="1"/>
      <w:numFmt w:val="lowerLetter"/>
      <w:lvlText w:val="%5."/>
      <w:lvlJc w:val="left"/>
      <w:pPr>
        <w:ind w:left="3844" w:hanging="360"/>
      </w:pPr>
    </w:lvl>
    <w:lvl w:ilvl="5">
      <w:start w:val="1"/>
      <w:numFmt w:val="lowerRoman"/>
      <w:lvlText w:val="%6."/>
      <w:lvlJc w:val="right"/>
      <w:pPr>
        <w:ind w:left="4564" w:hanging="180"/>
      </w:pPr>
    </w:lvl>
    <w:lvl w:ilvl="6">
      <w:start w:val="1"/>
      <w:numFmt w:val="decimal"/>
      <w:lvlText w:val="%7."/>
      <w:lvlJc w:val="left"/>
      <w:pPr>
        <w:ind w:left="5284" w:hanging="360"/>
      </w:pPr>
    </w:lvl>
    <w:lvl w:ilvl="7">
      <w:start w:val="1"/>
      <w:numFmt w:val="lowerLetter"/>
      <w:lvlText w:val="%8."/>
      <w:lvlJc w:val="left"/>
      <w:pPr>
        <w:ind w:left="6004" w:hanging="360"/>
      </w:pPr>
    </w:lvl>
    <w:lvl w:ilvl="8">
      <w:start w:val="1"/>
      <w:numFmt w:val="lowerRoman"/>
      <w:lvlText w:val="%9."/>
      <w:lvlJc w:val="right"/>
      <w:pPr>
        <w:ind w:left="6724" w:hanging="180"/>
      </w:pPr>
    </w:lvl>
  </w:abstractNum>
  <w:abstractNum w:abstractNumId="25" w15:restartNumberingAfterBreak="0">
    <w:nsid w:val="64B1346F"/>
    <w:multiLevelType w:val="multilevel"/>
    <w:tmpl w:val="83F8644E"/>
    <w:lvl w:ilvl="0">
      <w:start w:val="1"/>
      <w:numFmt w:val="decimal"/>
      <w:lvlText w:val="(%1)"/>
      <w:lvlJc w:val="left"/>
      <w:pPr>
        <w:ind w:left="1080" w:hanging="360"/>
      </w:pPr>
      <w:rPr>
        <w:sz w:val="26"/>
        <w:szCs w:val="2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726D1A93"/>
    <w:multiLevelType w:val="multilevel"/>
    <w:tmpl w:val="60D2B04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A2C49C0"/>
    <w:multiLevelType w:val="multilevel"/>
    <w:tmpl w:val="28A82772"/>
    <w:lvl w:ilvl="0">
      <w:start w:val="3"/>
      <w:numFmt w:val="decimal"/>
      <w:lvlText w:val="(%1)"/>
      <w:lvlJc w:val="left"/>
      <w:pPr>
        <w:ind w:left="542" w:hanging="360"/>
      </w:p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num w:numId="1">
    <w:abstractNumId w:val="3"/>
  </w:num>
  <w:num w:numId="2">
    <w:abstractNumId w:val="18"/>
  </w:num>
  <w:num w:numId="3">
    <w:abstractNumId w:val="17"/>
  </w:num>
  <w:num w:numId="4">
    <w:abstractNumId w:val="14"/>
  </w:num>
  <w:num w:numId="5">
    <w:abstractNumId w:val="9"/>
  </w:num>
  <w:num w:numId="6">
    <w:abstractNumId w:val="1"/>
  </w:num>
  <w:num w:numId="7">
    <w:abstractNumId w:val="19"/>
  </w:num>
  <w:num w:numId="8">
    <w:abstractNumId w:val="16"/>
  </w:num>
  <w:num w:numId="9">
    <w:abstractNumId w:val="24"/>
  </w:num>
  <w:num w:numId="10">
    <w:abstractNumId w:val="5"/>
  </w:num>
  <w:num w:numId="11">
    <w:abstractNumId w:val="12"/>
  </w:num>
  <w:num w:numId="12">
    <w:abstractNumId w:val="22"/>
  </w:num>
  <w:num w:numId="13">
    <w:abstractNumId w:val="2"/>
  </w:num>
  <w:num w:numId="14">
    <w:abstractNumId w:val="6"/>
  </w:num>
  <w:num w:numId="15">
    <w:abstractNumId w:val="4"/>
  </w:num>
  <w:num w:numId="16">
    <w:abstractNumId w:val="10"/>
  </w:num>
  <w:num w:numId="17">
    <w:abstractNumId w:val="11"/>
  </w:num>
  <w:num w:numId="18">
    <w:abstractNumId w:val="26"/>
  </w:num>
  <w:num w:numId="19">
    <w:abstractNumId w:val="20"/>
  </w:num>
  <w:num w:numId="20">
    <w:abstractNumId w:val="25"/>
  </w:num>
  <w:num w:numId="21">
    <w:abstractNumId w:val="15"/>
  </w:num>
  <w:num w:numId="22">
    <w:abstractNumId w:val="27"/>
  </w:num>
  <w:num w:numId="23">
    <w:abstractNumId w:val="21"/>
  </w:num>
  <w:num w:numId="24">
    <w:abstractNumId w:val="13"/>
  </w:num>
  <w:num w:numId="25">
    <w:abstractNumId w:val="23"/>
  </w:num>
  <w:num w:numId="26">
    <w:abstractNumId w:val="0"/>
  </w:num>
  <w:num w:numId="27">
    <w:abstractNumId w:val="8"/>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B79"/>
    <w:rsid w:val="00001075"/>
    <w:rsid w:val="00001E28"/>
    <w:rsid w:val="0001119C"/>
    <w:rsid w:val="00015EBD"/>
    <w:rsid w:val="00026A05"/>
    <w:rsid w:val="00026B2D"/>
    <w:rsid w:val="00030141"/>
    <w:rsid w:val="0003072B"/>
    <w:rsid w:val="00030E25"/>
    <w:rsid w:val="000663B7"/>
    <w:rsid w:val="00071117"/>
    <w:rsid w:val="00081CB7"/>
    <w:rsid w:val="00085A71"/>
    <w:rsid w:val="0009168B"/>
    <w:rsid w:val="000A36A5"/>
    <w:rsid w:val="000A3F04"/>
    <w:rsid w:val="000B23CB"/>
    <w:rsid w:val="000B72D0"/>
    <w:rsid w:val="000D066A"/>
    <w:rsid w:val="000E174E"/>
    <w:rsid w:val="000E25DC"/>
    <w:rsid w:val="000F2096"/>
    <w:rsid w:val="00105CF6"/>
    <w:rsid w:val="00115164"/>
    <w:rsid w:val="00126FF6"/>
    <w:rsid w:val="0013123F"/>
    <w:rsid w:val="00140C62"/>
    <w:rsid w:val="0014189C"/>
    <w:rsid w:val="001628C6"/>
    <w:rsid w:val="00186090"/>
    <w:rsid w:val="00190D32"/>
    <w:rsid w:val="00196A76"/>
    <w:rsid w:val="00196E0E"/>
    <w:rsid w:val="001A106D"/>
    <w:rsid w:val="001A6F70"/>
    <w:rsid w:val="001C3586"/>
    <w:rsid w:val="001C7F92"/>
    <w:rsid w:val="001D1956"/>
    <w:rsid w:val="001D4044"/>
    <w:rsid w:val="001E181A"/>
    <w:rsid w:val="001E2B4D"/>
    <w:rsid w:val="001E3F0B"/>
    <w:rsid w:val="001E412E"/>
    <w:rsid w:val="001F655D"/>
    <w:rsid w:val="002063FC"/>
    <w:rsid w:val="00220532"/>
    <w:rsid w:val="00222C16"/>
    <w:rsid w:val="0024654F"/>
    <w:rsid w:val="0024703A"/>
    <w:rsid w:val="0025558F"/>
    <w:rsid w:val="00262211"/>
    <w:rsid w:val="00263B42"/>
    <w:rsid w:val="00266191"/>
    <w:rsid w:val="00270F8B"/>
    <w:rsid w:val="00276D52"/>
    <w:rsid w:val="002A0B0A"/>
    <w:rsid w:val="002B5F09"/>
    <w:rsid w:val="002D045B"/>
    <w:rsid w:val="002E5A70"/>
    <w:rsid w:val="002F1CA2"/>
    <w:rsid w:val="002F7256"/>
    <w:rsid w:val="00311070"/>
    <w:rsid w:val="00314A9A"/>
    <w:rsid w:val="00326174"/>
    <w:rsid w:val="00341B38"/>
    <w:rsid w:val="0034799C"/>
    <w:rsid w:val="00351C73"/>
    <w:rsid w:val="00360F8A"/>
    <w:rsid w:val="00367423"/>
    <w:rsid w:val="0038083F"/>
    <w:rsid w:val="00384201"/>
    <w:rsid w:val="00385BA5"/>
    <w:rsid w:val="00392362"/>
    <w:rsid w:val="003929FD"/>
    <w:rsid w:val="003A0064"/>
    <w:rsid w:val="003A6554"/>
    <w:rsid w:val="003B4354"/>
    <w:rsid w:val="003C0CE9"/>
    <w:rsid w:val="003C6A5B"/>
    <w:rsid w:val="003E3427"/>
    <w:rsid w:val="003E5484"/>
    <w:rsid w:val="003E6EB0"/>
    <w:rsid w:val="00403A6E"/>
    <w:rsid w:val="0040503B"/>
    <w:rsid w:val="00414362"/>
    <w:rsid w:val="004150E4"/>
    <w:rsid w:val="00415A64"/>
    <w:rsid w:val="004205AF"/>
    <w:rsid w:val="004211DA"/>
    <w:rsid w:val="00425327"/>
    <w:rsid w:val="00427F7C"/>
    <w:rsid w:val="004328DA"/>
    <w:rsid w:val="00451819"/>
    <w:rsid w:val="0045247B"/>
    <w:rsid w:val="00454D60"/>
    <w:rsid w:val="004704CF"/>
    <w:rsid w:val="00470E7A"/>
    <w:rsid w:val="00480B83"/>
    <w:rsid w:val="0048113A"/>
    <w:rsid w:val="00485B68"/>
    <w:rsid w:val="004A22F7"/>
    <w:rsid w:val="004A6434"/>
    <w:rsid w:val="004B0134"/>
    <w:rsid w:val="004D07B3"/>
    <w:rsid w:val="00500BA7"/>
    <w:rsid w:val="00501957"/>
    <w:rsid w:val="00502F39"/>
    <w:rsid w:val="00505276"/>
    <w:rsid w:val="0050713E"/>
    <w:rsid w:val="005169C3"/>
    <w:rsid w:val="00522251"/>
    <w:rsid w:val="00525078"/>
    <w:rsid w:val="00536E7E"/>
    <w:rsid w:val="00540466"/>
    <w:rsid w:val="00554DE8"/>
    <w:rsid w:val="00561191"/>
    <w:rsid w:val="00562FBB"/>
    <w:rsid w:val="00567D8A"/>
    <w:rsid w:val="00572C4B"/>
    <w:rsid w:val="00575617"/>
    <w:rsid w:val="00577CAC"/>
    <w:rsid w:val="00587EC3"/>
    <w:rsid w:val="005B5B78"/>
    <w:rsid w:val="005C45AE"/>
    <w:rsid w:val="005C677C"/>
    <w:rsid w:val="005D0669"/>
    <w:rsid w:val="005D1535"/>
    <w:rsid w:val="005E08A5"/>
    <w:rsid w:val="005E4C7C"/>
    <w:rsid w:val="005F131B"/>
    <w:rsid w:val="005F4B79"/>
    <w:rsid w:val="00612C9C"/>
    <w:rsid w:val="00613F38"/>
    <w:rsid w:val="00620194"/>
    <w:rsid w:val="00635F33"/>
    <w:rsid w:val="00652599"/>
    <w:rsid w:val="00661B9E"/>
    <w:rsid w:val="00665E26"/>
    <w:rsid w:val="00673062"/>
    <w:rsid w:val="006767DC"/>
    <w:rsid w:val="00681260"/>
    <w:rsid w:val="00685BAA"/>
    <w:rsid w:val="006879F5"/>
    <w:rsid w:val="0069747E"/>
    <w:rsid w:val="006B27DD"/>
    <w:rsid w:val="006B67ED"/>
    <w:rsid w:val="006C2BDF"/>
    <w:rsid w:val="006C3766"/>
    <w:rsid w:val="006D20D3"/>
    <w:rsid w:val="006D4BEB"/>
    <w:rsid w:val="007014CB"/>
    <w:rsid w:val="00702720"/>
    <w:rsid w:val="0070598A"/>
    <w:rsid w:val="00725936"/>
    <w:rsid w:val="0073725F"/>
    <w:rsid w:val="00740A3D"/>
    <w:rsid w:val="00746998"/>
    <w:rsid w:val="00746E19"/>
    <w:rsid w:val="00754361"/>
    <w:rsid w:val="0075656D"/>
    <w:rsid w:val="00770FA3"/>
    <w:rsid w:val="00784786"/>
    <w:rsid w:val="00787D95"/>
    <w:rsid w:val="00790B94"/>
    <w:rsid w:val="0079223F"/>
    <w:rsid w:val="0079333E"/>
    <w:rsid w:val="00796621"/>
    <w:rsid w:val="007A64BE"/>
    <w:rsid w:val="007B2BDC"/>
    <w:rsid w:val="007D2591"/>
    <w:rsid w:val="007D5F6D"/>
    <w:rsid w:val="007E11BE"/>
    <w:rsid w:val="0080585B"/>
    <w:rsid w:val="00805DBA"/>
    <w:rsid w:val="00822F12"/>
    <w:rsid w:val="0084430F"/>
    <w:rsid w:val="00851C81"/>
    <w:rsid w:val="008616EF"/>
    <w:rsid w:val="00870F04"/>
    <w:rsid w:val="008742A2"/>
    <w:rsid w:val="00875E8F"/>
    <w:rsid w:val="0088201A"/>
    <w:rsid w:val="00883AF5"/>
    <w:rsid w:val="00892528"/>
    <w:rsid w:val="008940E0"/>
    <w:rsid w:val="00895C77"/>
    <w:rsid w:val="008A0886"/>
    <w:rsid w:val="008A56DF"/>
    <w:rsid w:val="008B056A"/>
    <w:rsid w:val="008B3021"/>
    <w:rsid w:val="008C30AF"/>
    <w:rsid w:val="008C30EF"/>
    <w:rsid w:val="008E0927"/>
    <w:rsid w:val="008E6DDA"/>
    <w:rsid w:val="008F62B9"/>
    <w:rsid w:val="00920965"/>
    <w:rsid w:val="009210B5"/>
    <w:rsid w:val="00925014"/>
    <w:rsid w:val="009402E7"/>
    <w:rsid w:val="00940AE8"/>
    <w:rsid w:val="009432B9"/>
    <w:rsid w:val="00950FB0"/>
    <w:rsid w:val="00952E54"/>
    <w:rsid w:val="009561E8"/>
    <w:rsid w:val="009620BC"/>
    <w:rsid w:val="00967917"/>
    <w:rsid w:val="009869DB"/>
    <w:rsid w:val="009879BE"/>
    <w:rsid w:val="009C3D9D"/>
    <w:rsid w:val="009D3FD8"/>
    <w:rsid w:val="009E167C"/>
    <w:rsid w:val="009E41D7"/>
    <w:rsid w:val="009F36C5"/>
    <w:rsid w:val="00A13232"/>
    <w:rsid w:val="00A1423A"/>
    <w:rsid w:val="00A178EF"/>
    <w:rsid w:val="00A215F5"/>
    <w:rsid w:val="00A25B89"/>
    <w:rsid w:val="00A331DD"/>
    <w:rsid w:val="00A4467F"/>
    <w:rsid w:val="00A564A7"/>
    <w:rsid w:val="00A564E9"/>
    <w:rsid w:val="00A66EFA"/>
    <w:rsid w:val="00A70A50"/>
    <w:rsid w:val="00A81B55"/>
    <w:rsid w:val="00A9105E"/>
    <w:rsid w:val="00A95D91"/>
    <w:rsid w:val="00A96A16"/>
    <w:rsid w:val="00A97A49"/>
    <w:rsid w:val="00AA28DA"/>
    <w:rsid w:val="00AC25A7"/>
    <w:rsid w:val="00AC544A"/>
    <w:rsid w:val="00AC6689"/>
    <w:rsid w:val="00AD516F"/>
    <w:rsid w:val="00AE377C"/>
    <w:rsid w:val="00AE66C7"/>
    <w:rsid w:val="00AF3FFF"/>
    <w:rsid w:val="00AF6F95"/>
    <w:rsid w:val="00B0410A"/>
    <w:rsid w:val="00B262AC"/>
    <w:rsid w:val="00B403D3"/>
    <w:rsid w:val="00B4092C"/>
    <w:rsid w:val="00B414BD"/>
    <w:rsid w:val="00B56E73"/>
    <w:rsid w:val="00B669B2"/>
    <w:rsid w:val="00B66E80"/>
    <w:rsid w:val="00B73C54"/>
    <w:rsid w:val="00B764A8"/>
    <w:rsid w:val="00B85DC3"/>
    <w:rsid w:val="00B862D0"/>
    <w:rsid w:val="00B916DF"/>
    <w:rsid w:val="00BA0F51"/>
    <w:rsid w:val="00BA24DA"/>
    <w:rsid w:val="00BA4CAD"/>
    <w:rsid w:val="00BB05E7"/>
    <w:rsid w:val="00BC3D78"/>
    <w:rsid w:val="00BC727B"/>
    <w:rsid w:val="00BD31B4"/>
    <w:rsid w:val="00BD5FE8"/>
    <w:rsid w:val="00BD6FA2"/>
    <w:rsid w:val="00BE1528"/>
    <w:rsid w:val="00BF5580"/>
    <w:rsid w:val="00C072C2"/>
    <w:rsid w:val="00C1095B"/>
    <w:rsid w:val="00C25412"/>
    <w:rsid w:val="00C408F5"/>
    <w:rsid w:val="00C4201F"/>
    <w:rsid w:val="00C455C8"/>
    <w:rsid w:val="00C574A4"/>
    <w:rsid w:val="00C60C29"/>
    <w:rsid w:val="00C624D3"/>
    <w:rsid w:val="00C669A1"/>
    <w:rsid w:val="00C763B9"/>
    <w:rsid w:val="00C83F88"/>
    <w:rsid w:val="00C91936"/>
    <w:rsid w:val="00CB14CA"/>
    <w:rsid w:val="00CC2659"/>
    <w:rsid w:val="00CC2E8C"/>
    <w:rsid w:val="00CD0DD9"/>
    <w:rsid w:val="00CE2398"/>
    <w:rsid w:val="00CE464A"/>
    <w:rsid w:val="00D04AF7"/>
    <w:rsid w:val="00D10D61"/>
    <w:rsid w:val="00D16B76"/>
    <w:rsid w:val="00D23792"/>
    <w:rsid w:val="00D34680"/>
    <w:rsid w:val="00D55D78"/>
    <w:rsid w:val="00D665A0"/>
    <w:rsid w:val="00D676DC"/>
    <w:rsid w:val="00D731C4"/>
    <w:rsid w:val="00D80B1D"/>
    <w:rsid w:val="00D855F3"/>
    <w:rsid w:val="00D86192"/>
    <w:rsid w:val="00D95CD6"/>
    <w:rsid w:val="00D96417"/>
    <w:rsid w:val="00DA12D6"/>
    <w:rsid w:val="00DB02B6"/>
    <w:rsid w:val="00DB7709"/>
    <w:rsid w:val="00DC0CBB"/>
    <w:rsid w:val="00DE7DB1"/>
    <w:rsid w:val="00E12E27"/>
    <w:rsid w:val="00E20A4E"/>
    <w:rsid w:val="00E21A93"/>
    <w:rsid w:val="00E414E4"/>
    <w:rsid w:val="00E44AC4"/>
    <w:rsid w:val="00E5626E"/>
    <w:rsid w:val="00E5672C"/>
    <w:rsid w:val="00E6173C"/>
    <w:rsid w:val="00E64AD4"/>
    <w:rsid w:val="00E64EAA"/>
    <w:rsid w:val="00E77EDE"/>
    <w:rsid w:val="00E8502B"/>
    <w:rsid w:val="00E92C29"/>
    <w:rsid w:val="00EA0793"/>
    <w:rsid w:val="00ED65D3"/>
    <w:rsid w:val="00EE1DA4"/>
    <w:rsid w:val="00EE58CC"/>
    <w:rsid w:val="00EF060C"/>
    <w:rsid w:val="00EF3447"/>
    <w:rsid w:val="00F075FF"/>
    <w:rsid w:val="00F20696"/>
    <w:rsid w:val="00F24A36"/>
    <w:rsid w:val="00F3014E"/>
    <w:rsid w:val="00F3301A"/>
    <w:rsid w:val="00F357DB"/>
    <w:rsid w:val="00F400F5"/>
    <w:rsid w:val="00F406E4"/>
    <w:rsid w:val="00F714A4"/>
    <w:rsid w:val="00F77DD6"/>
    <w:rsid w:val="00F81C61"/>
    <w:rsid w:val="00F91B4D"/>
    <w:rsid w:val="00F923CA"/>
    <w:rsid w:val="00F95DE0"/>
    <w:rsid w:val="00FB6916"/>
    <w:rsid w:val="00FC3B49"/>
    <w:rsid w:val="00FD3B61"/>
    <w:rsid w:val="00FD6959"/>
    <w:rsid w:val="00FE0F93"/>
    <w:rsid w:val="00FE23A8"/>
    <w:rsid w:val="00FE695D"/>
    <w:rsid w:val="00FE7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DFCB"/>
  <w15:docId w15:val="{789B4AFC-704D-41B0-B6DC-03CD84D9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pPr>
      <w:spacing w:line="240" w:lineRule="auto"/>
    </w:pPr>
    <w:rPr>
      <w:rFonts w:ascii="Times New Roman" w:eastAsia="Times New Roman" w:hAnsi="Times New Roman" w:cs="Times New Roman"/>
      <w:sz w:val="28"/>
      <w:szCs w:val="28"/>
    </w:r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rPr>
      <w:rFonts w:ascii="Times New Roman" w:eastAsia="Times New Roman" w:hAnsi="Times New Roman" w:cs="Times New Roman"/>
      <w:sz w:val="28"/>
      <w:szCs w:val="28"/>
    </w:r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rPr>
      <w:rFonts w:ascii="Times New Roman" w:eastAsia="Times New Roman" w:hAnsi="Times New Roman" w:cs="Times New Roman"/>
      <w:sz w:val="28"/>
      <w:szCs w:val="28"/>
    </w:rPr>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AE377C"/>
    <w:rPr>
      <w:sz w:val="16"/>
      <w:szCs w:val="16"/>
    </w:rPr>
  </w:style>
  <w:style w:type="paragraph" w:styleId="CommentText">
    <w:name w:val="annotation text"/>
    <w:basedOn w:val="Normal"/>
    <w:link w:val="CommentTextChar"/>
    <w:uiPriority w:val="99"/>
    <w:unhideWhenUsed/>
    <w:rsid w:val="00AE377C"/>
    <w:pPr>
      <w:spacing w:line="240" w:lineRule="auto"/>
    </w:pPr>
    <w:rPr>
      <w:sz w:val="20"/>
      <w:szCs w:val="20"/>
    </w:rPr>
  </w:style>
  <w:style w:type="character" w:customStyle="1" w:styleId="CommentTextChar">
    <w:name w:val="Comment Text Char"/>
    <w:basedOn w:val="DefaultParagraphFont"/>
    <w:link w:val="CommentText"/>
    <w:uiPriority w:val="99"/>
    <w:rsid w:val="00AE377C"/>
    <w:rPr>
      <w:sz w:val="20"/>
      <w:szCs w:val="20"/>
    </w:rPr>
  </w:style>
  <w:style w:type="paragraph" w:styleId="CommentSubject">
    <w:name w:val="annotation subject"/>
    <w:basedOn w:val="CommentText"/>
    <w:next w:val="CommentText"/>
    <w:link w:val="CommentSubjectChar"/>
    <w:uiPriority w:val="99"/>
    <w:semiHidden/>
    <w:unhideWhenUsed/>
    <w:rsid w:val="00AE377C"/>
    <w:rPr>
      <w:b/>
      <w:bCs/>
    </w:rPr>
  </w:style>
  <w:style w:type="character" w:customStyle="1" w:styleId="CommentSubjectChar">
    <w:name w:val="Comment Subject Char"/>
    <w:basedOn w:val="CommentTextChar"/>
    <w:link w:val="CommentSubject"/>
    <w:uiPriority w:val="99"/>
    <w:semiHidden/>
    <w:rsid w:val="00AE377C"/>
    <w:rPr>
      <w:b/>
      <w:bCs/>
      <w:sz w:val="20"/>
      <w:szCs w:val="20"/>
    </w:rPr>
  </w:style>
  <w:style w:type="paragraph" w:styleId="ListParagraph">
    <w:name w:val="List Paragraph"/>
    <w:basedOn w:val="Normal"/>
    <w:uiPriority w:val="34"/>
    <w:qFormat/>
    <w:rsid w:val="00FE695D"/>
    <w:pPr>
      <w:ind w:left="720"/>
      <w:contextualSpacing/>
    </w:pPr>
  </w:style>
  <w:style w:type="paragraph" w:customStyle="1" w:styleId="iu">
    <w:name w:val="Điều"/>
    <w:basedOn w:val="Normal"/>
    <w:link w:val="iuChar"/>
    <w:qFormat/>
    <w:rsid w:val="009E41D7"/>
    <w:pPr>
      <w:widowControl w:val="0"/>
      <w:tabs>
        <w:tab w:val="left" w:pos="1701"/>
      </w:tabs>
      <w:spacing w:line="280" w:lineRule="exact"/>
      <w:ind w:firstLine="567"/>
      <w:jc w:val="both"/>
      <w:outlineLvl w:val="0"/>
    </w:pPr>
    <w:rPr>
      <w:rFonts w:ascii="Times New Roman" w:eastAsia="Times New Roman" w:hAnsi="Times New Roman" w:cs="Times New Roman"/>
      <w:bCs/>
      <w:kern w:val="32"/>
      <w:sz w:val="28"/>
      <w:szCs w:val="28"/>
      <w:lang w:val="vi-VN"/>
    </w:rPr>
  </w:style>
  <w:style w:type="character" w:customStyle="1" w:styleId="iuChar">
    <w:name w:val="Điều Char"/>
    <w:basedOn w:val="DefaultParagraphFont"/>
    <w:link w:val="iu"/>
    <w:rsid w:val="009E41D7"/>
    <w:rPr>
      <w:rFonts w:ascii="Times New Roman" w:eastAsia="Times New Roman" w:hAnsi="Times New Roman" w:cs="Times New Roman"/>
      <w:bCs/>
      <w:kern w:val="32"/>
      <w:sz w:val="28"/>
      <w:szCs w:val="28"/>
      <w:lang w:val="vi-VN"/>
    </w:rPr>
  </w:style>
  <w:style w:type="paragraph" w:styleId="NormalWeb">
    <w:name w:val="Normal (Web)"/>
    <w:aliases w:val="Обычный (веб)1,Обычный (веб) Знак,Обычный (веб) Знак1,Обычный (веб) Знак Знак,Char Char,Normal (Web) Char1,Char8 Char,Char8,webb"/>
    <w:basedOn w:val="Normal"/>
    <w:link w:val="NormalWebChar"/>
    <w:uiPriority w:val="99"/>
    <w:unhideWhenUsed/>
    <w:qFormat/>
    <w:rsid w:val="00BD6FA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aliases w:val="Обычный (веб)1 Char,Обычный (веб) Знак Char,Обычный (веб) Знак1 Char,Обычный (веб) Знак Знак Char,Char Char Char,Normal (Web) Char1 Char,Char8 Char Char,Char8 Char1,webb Char"/>
    <w:link w:val="NormalWeb"/>
    <w:uiPriority w:val="99"/>
    <w:rsid w:val="00BD6FA2"/>
    <w:rPr>
      <w:rFonts w:ascii="Times New Roman" w:eastAsia="Times New Roman" w:hAnsi="Times New Roman" w:cs="Times New Roman"/>
      <w:sz w:val="24"/>
      <w:szCs w:val="24"/>
      <w:lang w:val="en-US"/>
    </w:rPr>
  </w:style>
  <w:style w:type="character" w:styleId="Hyperlink">
    <w:name w:val="Hyperlink"/>
    <w:uiPriority w:val="99"/>
    <w:rsid w:val="008A0886"/>
    <w:rPr>
      <w:color w:val="0000FF"/>
      <w:u w:val="single"/>
    </w:rPr>
  </w:style>
  <w:style w:type="character" w:customStyle="1" w:styleId="fontstyle01">
    <w:name w:val="fontstyle01"/>
    <w:basedOn w:val="DefaultParagraphFont"/>
    <w:rsid w:val="00A9105E"/>
    <w:rPr>
      <w:rFonts w:ascii="Times New Roman" w:hAnsi="Times New Roman" w:cs="Times New Roman" w:hint="default"/>
      <w:b w:val="0"/>
      <w:bCs w:val="0"/>
      <w:i w:val="0"/>
      <w:iCs w:val="0"/>
      <w:color w:val="000000"/>
      <w:sz w:val="28"/>
      <w:szCs w:val="28"/>
    </w:rPr>
  </w:style>
  <w:style w:type="paragraph" w:styleId="Revision">
    <w:name w:val="Revision"/>
    <w:hidden/>
    <w:uiPriority w:val="99"/>
    <w:semiHidden/>
    <w:rsid w:val="008E6DDA"/>
    <w:pPr>
      <w:spacing w:line="240" w:lineRule="auto"/>
    </w:pPr>
  </w:style>
  <w:style w:type="paragraph" w:styleId="BalloonText">
    <w:name w:val="Balloon Text"/>
    <w:basedOn w:val="Normal"/>
    <w:link w:val="BalloonTextChar"/>
    <w:uiPriority w:val="99"/>
    <w:semiHidden/>
    <w:unhideWhenUsed/>
    <w:rsid w:val="006767D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7DC"/>
    <w:rPr>
      <w:rFonts w:ascii="Segoe UI" w:hAnsi="Segoe UI" w:cs="Segoe UI"/>
      <w:sz w:val="18"/>
      <w:szCs w:val="18"/>
    </w:rPr>
  </w:style>
  <w:style w:type="paragraph" w:styleId="Header">
    <w:name w:val="header"/>
    <w:aliases w:val="Header Char Char Char Char,Header Char Char1 Char,Header Char1 Char Char,Header Char2 Char,Header Char Char Char Char Char Char Char Char Char Char Char Char Char Char Char Char,Header1"/>
    <w:basedOn w:val="Normal"/>
    <w:link w:val="HeaderChar1"/>
    <w:rsid w:val="00FE0F93"/>
    <w:pPr>
      <w:tabs>
        <w:tab w:val="center" w:pos="4680"/>
        <w:tab w:val="right" w:pos="9360"/>
      </w:tabs>
      <w:spacing w:line="240" w:lineRule="auto"/>
    </w:pPr>
    <w:rPr>
      <w:rFonts w:ascii="Times New Roman" w:eastAsia="Batang" w:hAnsi="Times New Roman" w:cs="Times New Roman"/>
      <w:sz w:val="24"/>
      <w:szCs w:val="24"/>
      <w:lang w:val="en-US" w:eastAsia="ko-KR"/>
    </w:rPr>
  </w:style>
  <w:style w:type="character" w:customStyle="1" w:styleId="HeaderChar">
    <w:name w:val="Header Char"/>
    <w:basedOn w:val="DefaultParagraphFont"/>
    <w:uiPriority w:val="99"/>
    <w:semiHidden/>
    <w:rsid w:val="00FE0F93"/>
  </w:style>
  <w:style w:type="character" w:customStyle="1" w:styleId="HeaderChar1">
    <w:name w:val="Header Char1"/>
    <w:aliases w:val="Header Char Char Char Char Char,Header Char Char1 Char Char,Header Char1 Char Char Char,Header Char2 Char Char,Header Char Char Char Char Char Char Char Char Char Char Char Char Char Char Char Char Char,Header1 Char"/>
    <w:link w:val="Header"/>
    <w:rsid w:val="00FE0F93"/>
    <w:rPr>
      <w:rFonts w:ascii="Times New Roman" w:eastAsia="Batang" w:hAnsi="Times New Roman" w:cs="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06326">
      <w:bodyDiv w:val="1"/>
      <w:marLeft w:val="0"/>
      <w:marRight w:val="0"/>
      <w:marTop w:val="0"/>
      <w:marBottom w:val="0"/>
      <w:divBdr>
        <w:top w:val="none" w:sz="0" w:space="0" w:color="auto"/>
        <w:left w:val="none" w:sz="0" w:space="0" w:color="auto"/>
        <w:bottom w:val="none" w:sz="0" w:space="0" w:color="auto"/>
        <w:right w:val="none" w:sz="0" w:space="0" w:color="auto"/>
      </w:divBdr>
    </w:div>
    <w:div w:id="259724115">
      <w:bodyDiv w:val="1"/>
      <w:marLeft w:val="0"/>
      <w:marRight w:val="0"/>
      <w:marTop w:val="0"/>
      <w:marBottom w:val="0"/>
      <w:divBdr>
        <w:top w:val="none" w:sz="0" w:space="0" w:color="auto"/>
        <w:left w:val="none" w:sz="0" w:space="0" w:color="auto"/>
        <w:bottom w:val="none" w:sz="0" w:space="0" w:color="auto"/>
        <w:right w:val="none" w:sz="0" w:space="0" w:color="auto"/>
      </w:divBdr>
    </w:div>
    <w:div w:id="324432204">
      <w:bodyDiv w:val="1"/>
      <w:marLeft w:val="0"/>
      <w:marRight w:val="0"/>
      <w:marTop w:val="0"/>
      <w:marBottom w:val="0"/>
      <w:divBdr>
        <w:top w:val="none" w:sz="0" w:space="0" w:color="auto"/>
        <w:left w:val="none" w:sz="0" w:space="0" w:color="auto"/>
        <w:bottom w:val="none" w:sz="0" w:space="0" w:color="auto"/>
        <w:right w:val="none" w:sz="0" w:space="0" w:color="auto"/>
      </w:divBdr>
    </w:div>
    <w:div w:id="341977886">
      <w:bodyDiv w:val="1"/>
      <w:marLeft w:val="0"/>
      <w:marRight w:val="0"/>
      <w:marTop w:val="0"/>
      <w:marBottom w:val="0"/>
      <w:divBdr>
        <w:top w:val="none" w:sz="0" w:space="0" w:color="auto"/>
        <w:left w:val="none" w:sz="0" w:space="0" w:color="auto"/>
        <w:bottom w:val="none" w:sz="0" w:space="0" w:color="auto"/>
        <w:right w:val="none" w:sz="0" w:space="0" w:color="auto"/>
      </w:divBdr>
    </w:div>
    <w:div w:id="659163309">
      <w:bodyDiv w:val="1"/>
      <w:marLeft w:val="0"/>
      <w:marRight w:val="0"/>
      <w:marTop w:val="0"/>
      <w:marBottom w:val="0"/>
      <w:divBdr>
        <w:top w:val="none" w:sz="0" w:space="0" w:color="auto"/>
        <w:left w:val="none" w:sz="0" w:space="0" w:color="auto"/>
        <w:bottom w:val="none" w:sz="0" w:space="0" w:color="auto"/>
        <w:right w:val="none" w:sz="0" w:space="0" w:color="auto"/>
      </w:divBdr>
    </w:div>
    <w:div w:id="948660076">
      <w:bodyDiv w:val="1"/>
      <w:marLeft w:val="0"/>
      <w:marRight w:val="0"/>
      <w:marTop w:val="0"/>
      <w:marBottom w:val="0"/>
      <w:divBdr>
        <w:top w:val="none" w:sz="0" w:space="0" w:color="auto"/>
        <w:left w:val="none" w:sz="0" w:space="0" w:color="auto"/>
        <w:bottom w:val="none" w:sz="0" w:space="0" w:color="auto"/>
        <w:right w:val="none" w:sz="0" w:space="0" w:color="auto"/>
      </w:divBdr>
    </w:div>
    <w:div w:id="950894121">
      <w:bodyDiv w:val="1"/>
      <w:marLeft w:val="0"/>
      <w:marRight w:val="0"/>
      <w:marTop w:val="0"/>
      <w:marBottom w:val="0"/>
      <w:divBdr>
        <w:top w:val="none" w:sz="0" w:space="0" w:color="auto"/>
        <w:left w:val="none" w:sz="0" w:space="0" w:color="auto"/>
        <w:bottom w:val="none" w:sz="0" w:space="0" w:color="auto"/>
        <w:right w:val="none" w:sz="0" w:space="0" w:color="auto"/>
      </w:divBdr>
    </w:div>
    <w:div w:id="1012756901">
      <w:bodyDiv w:val="1"/>
      <w:marLeft w:val="0"/>
      <w:marRight w:val="0"/>
      <w:marTop w:val="0"/>
      <w:marBottom w:val="0"/>
      <w:divBdr>
        <w:top w:val="none" w:sz="0" w:space="0" w:color="auto"/>
        <w:left w:val="none" w:sz="0" w:space="0" w:color="auto"/>
        <w:bottom w:val="none" w:sz="0" w:space="0" w:color="auto"/>
        <w:right w:val="none" w:sz="0" w:space="0" w:color="auto"/>
      </w:divBdr>
    </w:div>
    <w:div w:id="1233347971">
      <w:bodyDiv w:val="1"/>
      <w:marLeft w:val="0"/>
      <w:marRight w:val="0"/>
      <w:marTop w:val="0"/>
      <w:marBottom w:val="0"/>
      <w:divBdr>
        <w:top w:val="none" w:sz="0" w:space="0" w:color="auto"/>
        <w:left w:val="none" w:sz="0" w:space="0" w:color="auto"/>
        <w:bottom w:val="none" w:sz="0" w:space="0" w:color="auto"/>
        <w:right w:val="none" w:sz="0" w:space="0" w:color="auto"/>
      </w:divBdr>
    </w:div>
    <w:div w:id="1283269118">
      <w:bodyDiv w:val="1"/>
      <w:marLeft w:val="0"/>
      <w:marRight w:val="0"/>
      <w:marTop w:val="0"/>
      <w:marBottom w:val="0"/>
      <w:divBdr>
        <w:top w:val="none" w:sz="0" w:space="0" w:color="auto"/>
        <w:left w:val="none" w:sz="0" w:space="0" w:color="auto"/>
        <w:bottom w:val="none" w:sz="0" w:space="0" w:color="auto"/>
        <w:right w:val="none" w:sz="0" w:space="0" w:color="auto"/>
      </w:divBdr>
    </w:div>
    <w:div w:id="1379821782">
      <w:bodyDiv w:val="1"/>
      <w:marLeft w:val="0"/>
      <w:marRight w:val="0"/>
      <w:marTop w:val="0"/>
      <w:marBottom w:val="0"/>
      <w:divBdr>
        <w:top w:val="none" w:sz="0" w:space="0" w:color="auto"/>
        <w:left w:val="none" w:sz="0" w:space="0" w:color="auto"/>
        <w:bottom w:val="none" w:sz="0" w:space="0" w:color="auto"/>
        <w:right w:val="none" w:sz="0" w:space="0" w:color="auto"/>
      </w:divBdr>
    </w:div>
    <w:div w:id="1405377006">
      <w:bodyDiv w:val="1"/>
      <w:marLeft w:val="0"/>
      <w:marRight w:val="0"/>
      <w:marTop w:val="0"/>
      <w:marBottom w:val="0"/>
      <w:divBdr>
        <w:top w:val="none" w:sz="0" w:space="0" w:color="auto"/>
        <w:left w:val="none" w:sz="0" w:space="0" w:color="auto"/>
        <w:bottom w:val="none" w:sz="0" w:space="0" w:color="auto"/>
        <w:right w:val="none" w:sz="0" w:space="0" w:color="auto"/>
      </w:divBdr>
    </w:div>
    <w:div w:id="1465461411">
      <w:bodyDiv w:val="1"/>
      <w:marLeft w:val="0"/>
      <w:marRight w:val="0"/>
      <w:marTop w:val="0"/>
      <w:marBottom w:val="0"/>
      <w:divBdr>
        <w:top w:val="none" w:sz="0" w:space="0" w:color="auto"/>
        <w:left w:val="none" w:sz="0" w:space="0" w:color="auto"/>
        <w:bottom w:val="none" w:sz="0" w:space="0" w:color="auto"/>
        <w:right w:val="none" w:sz="0" w:space="0" w:color="auto"/>
      </w:divBdr>
    </w:div>
    <w:div w:id="1630476421">
      <w:bodyDiv w:val="1"/>
      <w:marLeft w:val="0"/>
      <w:marRight w:val="0"/>
      <w:marTop w:val="0"/>
      <w:marBottom w:val="0"/>
      <w:divBdr>
        <w:top w:val="none" w:sz="0" w:space="0" w:color="auto"/>
        <w:left w:val="none" w:sz="0" w:space="0" w:color="auto"/>
        <w:bottom w:val="none" w:sz="0" w:space="0" w:color="auto"/>
        <w:right w:val="none" w:sz="0" w:space="0" w:color="auto"/>
      </w:divBdr>
    </w:div>
    <w:div w:id="1648318056">
      <w:bodyDiv w:val="1"/>
      <w:marLeft w:val="0"/>
      <w:marRight w:val="0"/>
      <w:marTop w:val="0"/>
      <w:marBottom w:val="0"/>
      <w:divBdr>
        <w:top w:val="none" w:sz="0" w:space="0" w:color="auto"/>
        <w:left w:val="none" w:sz="0" w:space="0" w:color="auto"/>
        <w:bottom w:val="none" w:sz="0" w:space="0" w:color="auto"/>
        <w:right w:val="none" w:sz="0" w:space="0" w:color="auto"/>
      </w:divBdr>
    </w:div>
    <w:div w:id="1719932203">
      <w:bodyDiv w:val="1"/>
      <w:marLeft w:val="0"/>
      <w:marRight w:val="0"/>
      <w:marTop w:val="0"/>
      <w:marBottom w:val="0"/>
      <w:divBdr>
        <w:top w:val="none" w:sz="0" w:space="0" w:color="auto"/>
        <w:left w:val="none" w:sz="0" w:space="0" w:color="auto"/>
        <w:bottom w:val="none" w:sz="0" w:space="0" w:color="auto"/>
        <w:right w:val="none" w:sz="0" w:space="0" w:color="auto"/>
      </w:divBdr>
    </w:div>
    <w:div w:id="2079398481">
      <w:bodyDiv w:val="1"/>
      <w:marLeft w:val="0"/>
      <w:marRight w:val="0"/>
      <w:marTop w:val="0"/>
      <w:marBottom w:val="0"/>
      <w:divBdr>
        <w:top w:val="none" w:sz="0" w:space="0" w:color="auto"/>
        <w:left w:val="none" w:sz="0" w:space="0" w:color="auto"/>
        <w:bottom w:val="none" w:sz="0" w:space="0" w:color="auto"/>
        <w:right w:val="none" w:sz="0" w:space="0" w:color="auto"/>
      </w:divBdr>
    </w:div>
    <w:div w:id="2143889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536E7F-0F7F-4EC9-B1DB-BC8335DD1281}">
  <ds:schemaRefs>
    <ds:schemaRef ds:uri="http://schemas.openxmlformats.org/officeDocument/2006/bibliography"/>
  </ds:schemaRefs>
</ds:datastoreItem>
</file>

<file path=customXml/itemProps2.xml><?xml version="1.0" encoding="utf-8"?>
<ds:datastoreItem xmlns:ds="http://schemas.openxmlformats.org/officeDocument/2006/customXml" ds:itemID="{6AA338D3-2C4B-47F9-9464-B8A2393CF48C}"/>
</file>

<file path=customXml/itemProps3.xml><?xml version="1.0" encoding="utf-8"?>
<ds:datastoreItem xmlns:ds="http://schemas.openxmlformats.org/officeDocument/2006/customXml" ds:itemID="{511DB433-F2AE-4E67-868A-800E6B9417C5}"/>
</file>

<file path=customXml/itemProps4.xml><?xml version="1.0" encoding="utf-8"?>
<ds:datastoreItem xmlns:ds="http://schemas.openxmlformats.org/officeDocument/2006/customXml" ds:itemID="{EA6BCD40-DC50-4527-91D3-F484001562CC}"/>
</file>

<file path=docProps/app.xml><?xml version="1.0" encoding="utf-8"?>
<Properties xmlns="http://schemas.openxmlformats.org/officeDocument/2006/extended-properties" xmlns:vt="http://schemas.openxmlformats.org/officeDocument/2006/docPropsVTypes">
  <Template>Normal</Template>
  <TotalTime>43</TotalTime>
  <Pages>9</Pages>
  <Words>2208</Words>
  <Characters>12587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 Thi Thu Ha</dc:creator>
  <cp:lastModifiedBy>HuyenNTT@moit.gov.vn</cp:lastModifiedBy>
  <cp:revision>11</cp:revision>
  <cp:lastPrinted>2025-01-07T10:09:00Z</cp:lastPrinted>
  <dcterms:created xsi:type="dcterms:W3CDTF">2025-01-03T09:44:00Z</dcterms:created>
  <dcterms:modified xsi:type="dcterms:W3CDTF">2025-01-07T10:09:00Z</dcterms:modified>
</cp:coreProperties>
</file>